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068334A8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 xml:space="preserve">Facultatea de Sociologie și </w:t>
            </w:r>
            <w:r w:rsidR="00A5320F">
              <w:rPr>
                <w:rFonts w:asciiTheme="minorHAnsi" w:hAnsiTheme="minorHAnsi" w:cstheme="minorHAnsi"/>
                <w:lang w:val="ro-RO"/>
              </w:rPr>
              <w:t>Asistenţă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229BE6FF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Departamentul de Asistență Socială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11C039AB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 xml:space="preserve">Facultatea de Sociologie și </w:t>
            </w:r>
            <w:r w:rsidR="00A5320F" w:rsidRPr="00A5320F">
              <w:rPr>
                <w:rFonts w:asciiTheme="minorHAnsi" w:hAnsiTheme="minorHAnsi" w:cstheme="minorHAnsi"/>
                <w:lang w:val="ro-RO"/>
              </w:rPr>
              <w:t>Asistenţă Socială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1C8B1340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0100BB5" w14:textId="77777777" w:rsidR="003A2888" w:rsidRPr="003A2888" w:rsidRDefault="003A2888" w:rsidP="003A288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>Cu frecvență / Licențiat în Asistență Socială</w:t>
            </w:r>
          </w:p>
          <w:p w14:paraId="629E0B40" w14:textId="77777777" w:rsidR="003A2888" w:rsidRPr="003A2888" w:rsidRDefault="003A2888" w:rsidP="003A288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>• Asistent social - cod COR 263501</w:t>
            </w:r>
          </w:p>
          <w:p w14:paraId="642270B0" w14:textId="77777777" w:rsidR="003A2888" w:rsidRPr="003A2888" w:rsidRDefault="003A2888" w:rsidP="003A288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>• Specialist în angajare asistată - cod COR 263507</w:t>
            </w:r>
          </w:p>
          <w:p w14:paraId="6C296979" w14:textId="1849F2FF" w:rsidR="00E0255D" w:rsidRPr="00C4385C" w:rsidRDefault="003A2888" w:rsidP="003A288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A2888">
              <w:rPr>
                <w:rFonts w:asciiTheme="minorHAnsi" w:hAnsiTheme="minorHAnsi" w:cstheme="minorHAnsi"/>
                <w:lang w:val="ro-RO"/>
              </w:rPr>
              <w:t>• Inspector social- cod COR- 263512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0E26502A" w:rsidR="00E0255D" w:rsidRPr="00C4385C" w:rsidRDefault="00516674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Politici sociale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587E1780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Adrian Pășcuță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1AEAF802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Adrian Pășcuță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433916C7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23D29D5" w:rsidR="00E0255D" w:rsidRPr="00C4385C" w:rsidRDefault="00BD19D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281915C8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656560C3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7D3E0F86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0E67D17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3559CD79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2F75BFB5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56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1948EE13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060B8C2D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3C18460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02094F3" w:rsidR="00E0255D" w:rsidRPr="00C4385C" w:rsidRDefault="00A533F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0B831FA1" w:rsidR="00E0255D" w:rsidRPr="00C4385C" w:rsidRDefault="00A533F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6A3336F3" w:rsidR="00E0255D" w:rsidRPr="00C4385C" w:rsidRDefault="00A533F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235EDCA2" w:rsidR="00E0255D" w:rsidRPr="00C4385C" w:rsidRDefault="003A288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7580D63F" w:rsidR="00E0255D" w:rsidRPr="00C4385C" w:rsidRDefault="00B529C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6FD50B72" w:rsidR="00E0255D" w:rsidRPr="00C4385C" w:rsidRDefault="00A533F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  <w:r w:rsidR="003A2888"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44080E79" w:rsidR="00E0255D" w:rsidRPr="00C4385C" w:rsidRDefault="00384F5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91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178354C9" w:rsidR="00E0255D" w:rsidRPr="00C4385C" w:rsidRDefault="00A533F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1E8120C" w:rsidR="00E0255D" w:rsidRPr="00C4385C" w:rsidRDefault="00B529C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000E298F" w:rsidR="00E0255D" w:rsidRPr="00C4385C" w:rsidRDefault="00B529C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371C6FCB" w14:textId="77777777" w:rsidR="00B529CE" w:rsidRPr="00B529CE" w:rsidRDefault="00B529CE" w:rsidP="00B529CE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Dispozitiv (laptop/tableta/telefon) cu</w:t>
            </w:r>
          </w:p>
          <w:p w14:paraId="58F98986" w14:textId="77777777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posibilitatea de conectare la internet,</w:t>
            </w:r>
          </w:p>
          <w:p w14:paraId="781DBE28" w14:textId="77777777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microfon și cameră web.</w:t>
            </w:r>
          </w:p>
          <w:p w14:paraId="7C25D7AD" w14:textId="452E1E65" w:rsidR="00B529CE" w:rsidRPr="00B529CE" w:rsidRDefault="00B529CE" w:rsidP="00ED1552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Suportul de curs, sarcinile, feedback-ul în urma evaluării, precum și alte resurse digitale vor fi disponibile pe platforma de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e-learning</w:t>
            </w:r>
            <w:r>
              <w:rPr>
                <w:rFonts w:asciiTheme="minorHAnsi" w:hAnsiTheme="minorHAnsi" w:cstheme="minorHAnsi"/>
                <w:lang w:val="ro-RO"/>
              </w:rPr>
              <w:t xml:space="preserve"> sau comunicate la curs</w:t>
            </w:r>
          </w:p>
          <w:p w14:paraId="52CFEFD9" w14:textId="5CE3D7FF" w:rsidR="00B529CE" w:rsidRPr="00B529CE" w:rsidRDefault="00B529CE" w:rsidP="00B529CE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Pentru activitatea de curs se va utiliza</w:t>
            </w:r>
          </w:p>
          <w:p w14:paraId="0E31362C" w14:textId="77777777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platforma Google Meet. Link-ul asociat</w:t>
            </w:r>
          </w:p>
          <w:p w14:paraId="22604827" w14:textId="77777777" w:rsid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 xml:space="preserve">orelor de curs este: </w:t>
            </w:r>
          </w:p>
          <w:p w14:paraId="0FF55A5D" w14:textId="5471874C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hyperlink r:id="rId7" w:tgtFrame="_blank" w:history="1">
              <w:r w:rsidRPr="00B529CE">
                <w:rPr>
                  <w:rStyle w:val="Hyperlink"/>
                  <w:rFonts w:asciiTheme="minorHAnsi" w:hAnsiTheme="minorHAnsi" w:cstheme="minorHAnsi"/>
                  <w:lang w:val="ro-RO"/>
                </w:rPr>
                <w:t>meet.google.com/kux-emvx-tqr</w:t>
              </w:r>
            </w:hyperlink>
          </w:p>
          <w:p w14:paraId="0840EFA1" w14:textId="3A6D9264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(Doar in cazul în care condițiile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nu permit desfășurarea orelor</w:t>
            </w:r>
          </w:p>
          <w:p w14:paraId="6ADFF241" w14:textId="3E35AB4F" w:rsidR="00E0255D" w:rsidRPr="00C4385C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față în față)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58BB82A9" w14:textId="16D62B18" w:rsidR="00B529CE" w:rsidRPr="00B529CE" w:rsidRDefault="00B529CE" w:rsidP="00276288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Dispozitiv (laptop/tableta/telefon) cu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posibilitatea de conectare la internet,</w:t>
            </w:r>
          </w:p>
          <w:p w14:paraId="2C906E47" w14:textId="77777777" w:rsidR="00B529CE" w:rsidRP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microfon și cameră web.</w:t>
            </w:r>
          </w:p>
          <w:p w14:paraId="221F92D6" w14:textId="286D096B" w:rsidR="00B529CE" w:rsidRPr="00B529CE" w:rsidRDefault="00B529CE" w:rsidP="00FF5FA9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Sarcinile, feedback-ul în urma evaluării, precum și alte resursele digitale vor fi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disponibile pe platforma de e-learning.</w:t>
            </w:r>
          </w:p>
          <w:p w14:paraId="273028C2" w14:textId="677BC640" w:rsidR="00B529CE" w:rsidRPr="00B529CE" w:rsidRDefault="00B529CE" w:rsidP="00FC4B15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Pentru activitatea de seminar se va utiliza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platforma Google Meet. Link-ul asociat</w:t>
            </w:r>
          </w:p>
          <w:p w14:paraId="798AC6F2" w14:textId="013E62AB" w:rsidR="00B529CE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orelor de seminar este:</w:t>
            </w:r>
            <w:r w:rsidR="00BD19DA">
              <w:rPr>
                <w:rFonts w:asciiTheme="minorHAnsi" w:hAnsiTheme="minorHAnsi" w:cstheme="minorHAnsi"/>
                <w:lang w:val="ro-RO"/>
              </w:rPr>
              <w:t xml:space="preserve"> </w:t>
            </w:r>
            <w:hyperlink r:id="rId8" w:tgtFrame="_blank" w:history="1">
              <w:r w:rsidR="00BD19DA" w:rsidRPr="00BD19DA">
                <w:rPr>
                  <w:rStyle w:val="Hyperlink"/>
                  <w:rFonts w:asciiTheme="minorHAnsi" w:hAnsiTheme="minorHAnsi" w:cstheme="minorHAnsi"/>
                  <w:lang w:val="ro-RO"/>
                </w:rPr>
                <w:t>meet.google.com/kux-emvx-tqr</w:t>
              </w:r>
            </w:hyperlink>
          </w:p>
          <w:p w14:paraId="4BD0591C" w14:textId="73B679DA" w:rsidR="00802D13" w:rsidRPr="00C4385C" w:rsidRDefault="00B529CE" w:rsidP="00B529CE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  <w:r w:rsidRPr="00B529CE">
              <w:rPr>
                <w:rFonts w:asciiTheme="minorHAnsi" w:hAnsiTheme="minorHAnsi" w:cstheme="minorHAnsi"/>
                <w:lang w:val="ro-RO"/>
              </w:rPr>
              <w:t>(Doar in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cazul în care condițiile nu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529CE">
              <w:rPr>
                <w:rFonts w:asciiTheme="minorHAnsi" w:hAnsiTheme="minorHAnsi" w:cstheme="minorHAnsi"/>
                <w:lang w:val="ro-RO"/>
              </w:rPr>
              <w:t>permit desfășurarea orelor față în față)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BD19DA" w:rsidRPr="00C4385C" w14:paraId="76694619" w14:textId="77777777" w:rsidTr="00BD19DA">
        <w:trPr>
          <w:cantSplit/>
          <w:trHeight w:val="890"/>
        </w:trPr>
        <w:tc>
          <w:tcPr>
            <w:tcW w:w="1699" w:type="dxa"/>
            <w:vAlign w:val="center"/>
          </w:tcPr>
          <w:p w14:paraId="44C132C9" w14:textId="30F06B5E" w:rsidR="00BD19DA" w:rsidRPr="00C4385C" w:rsidRDefault="00BD19DA" w:rsidP="00BD19DA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43F0C22C" w14:textId="4CCEA46F" w:rsidR="00863F8C" w:rsidRPr="008C6F1E" w:rsidRDefault="00863F8C" w:rsidP="008C6F1E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</w:pPr>
            <w:r w:rsidRPr="00863F8C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Asimilarea de catre studenti a cunostintelor necesare pentru a intelege cauzele</w:t>
            </w:r>
            <w:r w:rsidR="008C6F1E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 xml:space="preserve"> </w:t>
            </w:r>
            <w:r w:rsidRPr="008C6F1E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aparitiei politicilor sociale ca modalitati de rezolvare a unor probleme sociale la nivel central si local</w:t>
            </w:r>
          </w:p>
          <w:p w14:paraId="489E27CA" w14:textId="2E872718" w:rsidR="00BD19DA" w:rsidRPr="00863F8C" w:rsidRDefault="00863F8C" w:rsidP="00863F8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</w:pPr>
            <w:r w:rsidRPr="00863F8C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Înțelegerea modului in care s-a constituit si functioneaza sistemul de protectie</w:t>
            </w:r>
            <w:r w:rsidR="008C6F1E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 xml:space="preserve"> </w:t>
            </w:r>
            <w:r w:rsidRPr="00863F8C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sociala in sistemele de politici sociale occidentale.</w:t>
            </w:r>
          </w:p>
        </w:tc>
      </w:tr>
      <w:tr w:rsidR="00BD19DA" w:rsidRPr="00C4385C" w14:paraId="5C767D8B" w14:textId="77777777" w:rsidTr="00BD19DA">
        <w:trPr>
          <w:cantSplit/>
          <w:trHeight w:val="831"/>
        </w:trPr>
        <w:tc>
          <w:tcPr>
            <w:tcW w:w="1699" w:type="dxa"/>
            <w:vAlign w:val="center"/>
          </w:tcPr>
          <w:p w14:paraId="3FB3257E" w14:textId="3557E77D" w:rsidR="00BD19DA" w:rsidRPr="00C4385C" w:rsidRDefault="00BD19DA" w:rsidP="00BD19DA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Abilități</w:t>
            </w:r>
          </w:p>
        </w:tc>
        <w:tc>
          <w:tcPr>
            <w:tcW w:w="7690" w:type="dxa"/>
          </w:tcPr>
          <w:p w14:paraId="64B2A780" w14:textId="77777777" w:rsidR="006D266E" w:rsidRDefault="006D266E" w:rsidP="00BD19DA">
            <w:pPr>
              <w:ind w:left="72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AC36517" w14:textId="77777777" w:rsidR="00863F8C" w:rsidRDefault="00863F8C" w:rsidP="00863F8C">
            <w:pPr>
              <w:pStyle w:val="ListParagraph"/>
              <w:numPr>
                <w:ilvl w:val="0"/>
                <w:numId w:val="34"/>
              </w:numPr>
              <w:ind w:left="72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63F8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Să dezvolte competenţe necesare unor intervenţii corespunzătoare pentru înlăturarea sau descurajarea oricăror forme de marginalizare sociala</w:t>
            </w:r>
          </w:p>
          <w:p w14:paraId="7679868B" w14:textId="016EE245" w:rsidR="00863F8C" w:rsidRPr="00863F8C" w:rsidRDefault="00863F8C" w:rsidP="00863F8C">
            <w:pPr>
              <w:pStyle w:val="ListParagraph"/>
              <w:numPr>
                <w:ilvl w:val="0"/>
                <w:numId w:val="34"/>
              </w:numPr>
              <w:ind w:left="72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63F8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Să poată identifica strategii de lobby și advocacy pentru drepturile persoanelor in dificultate </w:t>
            </w:r>
          </w:p>
          <w:p w14:paraId="5EDB0F86" w14:textId="7E35B2CA" w:rsidR="00863F8C" w:rsidRDefault="00863F8C" w:rsidP="00863F8C">
            <w:pPr>
              <w:pStyle w:val="ListParagraph"/>
              <w:numPr>
                <w:ilvl w:val="0"/>
                <w:numId w:val="34"/>
              </w:numPr>
              <w:ind w:left="72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63F8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Să cunoască procesele de luare a deciziei în instituţiile de protecție sociala</w:t>
            </w:r>
          </w:p>
          <w:p w14:paraId="26A3295C" w14:textId="71887212" w:rsidR="00BD19DA" w:rsidRPr="00C4385C" w:rsidRDefault="00BD19DA" w:rsidP="00863F8C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14:paraId="71758DDA" w14:textId="77777777" w:rsidTr="00BD19DA">
        <w:trPr>
          <w:cantSplit/>
          <w:trHeight w:val="984"/>
        </w:trPr>
        <w:tc>
          <w:tcPr>
            <w:tcW w:w="1699" w:type="dxa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4AF03525" w14:textId="77777777" w:rsidR="006D266E" w:rsidRDefault="006D266E" w:rsidP="00A533F0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BF7248" w14:textId="4A4FCCD9" w:rsidR="00D31B91" w:rsidRPr="00D31B91" w:rsidRDefault="00D31B91" w:rsidP="00D31B9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31B91">
              <w:rPr>
                <w:rFonts w:asciiTheme="minorHAnsi" w:hAnsiTheme="minorHAnsi" w:cstheme="minorHAnsi"/>
                <w:sz w:val="20"/>
                <w:szCs w:val="20"/>
              </w:rPr>
              <w:t>Capacitate de înțelegere a politicilor sociale și abordare corespunzătoare în</w:t>
            </w:r>
          </w:p>
          <w:p w14:paraId="78946F0F" w14:textId="2F47528F" w:rsidR="00A533F0" w:rsidRPr="00C4385C" w:rsidRDefault="00D31B91" w:rsidP="00D31B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</w:t>
            </w:r>
            <w:r w:rsidRPr="00D31B91">
              <w:rPr>
                <w:rFonts w:asciiTheme="minorHAnsi" w:hAnsiTheme="minorHAnsi" w:cstheme="minorHAnsi"/>
                <w:sz w:val="20"/>
                <w:szCs w:val="20"/>
              </w:rPr>
              <w:t>rezolvarea de probleme sociale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48E1692A" w14:textId="77777777" w:rsidR="00D31B91" w:rsidRDefault="00D31B91" w:rsidP="00D31B91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9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58"/>
        <w:gridCol w:w="2269"/>
        <w:gridCol w:w="3818"/>
      </w:tblGrid>
      <w:tr w:rsidR="00D31B91" w:rsidRPr="00D31B91" w14:paraId="5BCB59A5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BC3E6E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b/>
                <w:sz w:val="22"/>
                <w:szCs w:val="22"/>
              </w:rPr>
              <w:t xml:space="preserve">7.1. AI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B3EC4A" w14:textId="77777777" w:rsidR="00D31B91" w:rsidRPr="00D31B91" w:rsidRDefault="00D31B91" w:rsidP="00D31B91">
            <w:pPr>
              <w:jc w:val="center"/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Metode de predare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C7CC4" w14:textId="77777777" w:rsidR="00D31B91" w:rsidRPr="00D31B91" w:rsidRDefault="00D31B91" w:rsidP="00D31B91">
            <w:pPr>
              <w:jc w:val="center"/>
              <w:rPr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Observaţii</w:t>
            </w:r>
          </w:p>
        </w:tc>
      </w:tr>
      <w:tr w:rsidR="00D31B91" w:rsidRPr="00D31B91" w14:paraId="19ED0562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FD265" w14:textId="41469078" w:rsidR="008C6F1E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1. </w:t>
            </w:r>
            <w:r w:rsidR="008C6F1E"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t>Introducere în Politicile Sociale</w:t>
            </w:r>
            <w:r w:rsidR="008C6F1E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14:paraId="501C16B7" w14:textId="77777777" w:rsidR="008C6F1E" w:rsidRDefault="008C6F1E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14:paraId="6A9AD5E6" w14:textId="08E45158" w:rsidR="008C6F1E" w:rsidRPr="00A5320F" w:rsidRDefault="008C6F1E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8C6F1E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Ce sunt politicile sociale? Definiții și roluri</w:t>
            </w:r>
            <w:r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8C6F1E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Legătura dintre politicile sociale și asistența socială</w:t>
            </w:r>
            <w:r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8C6F1E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8C6F1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Principalele teorii și modele în politici sociale</w:t>
            </w:r>
          </w:p>
          <w:p w14:paraId="70C84B7B" w14:textId="77777777" w:rsidR="008C6F1E" w:rsidRPr="00A5320F" w:rsidRDefault="008C6F1E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7D905D40" w14:textId="77777777" w:rsidR="008C6F1E" w:rsidRPr="00A5320F" w:rsidRDefault="008C6F1E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575DDAE3" w14:textId="77777777" w:rsidR="008C6F1E" w:rsidRPr="00A5320F" w:rsidRDefault="008C6F1E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233B0541" w14:textId="265649E7" w:rsidR="00D31B91" w:rsidRPr="00D31B91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Economia bunastarii si mecanismele producerii bunastarii sociale; Politici publice si politici sociale: definitii, concepte. </w:t>
            </w:r>
            <w:proofErr w:type="spellStart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Surse</w:t>
            </w:r>
            <w:proofErr w:type="spellEnd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ale </w:t>
            </w:r>
            <w:proofErr w:type="spellStart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bunăstării</w:t>
            </w:r>
            <w:proofErr w:type="spellEnd"/>
          </w:p>
          <w:p w14:paraId="2A456130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91EB7C" w14:textId="77777777" w:rsid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Explicația, Descrierea, Exemplificarea, Problematizarea</w:t>
            </w:r>
            <w:r w:rsidR="008C6F1E">
              <w:rPr>
                <w:rFonts w:eastAsia="Liberation Sans"/>
                <w:sz w:val="22"/>
                <w:szCs w:val="22"/>
              </w:rPr>
              <w:t>.</w:t>
            </w:r>
          </w:p>
          <w:p w14:paraId="3C5CFF5C" w14:textId="77777777" w:rsidR="008C6F1E" w:rsidRDefault="008C6F1E" w:rsidP="00D31B91">
            <w:pPr>
              <w:rPr>
                <w:rFonts w:eastAsia="Liberation Sans"/>
                <w:sz w:val="22"/>
                <w:szCs w:val="22"/>
              </w:rPr>
            </w:pPr>
          </w:p>
          <w:p w14:paraId="42AE285B" w14:textId="5D7425CE" w:rsidR="008C6F1E" w:rsidRPr="00D31B91" w:rsidRDefault="008C6F1E" w:rsidP="00D31B91">
            <w:pPr>
              <w:rPr>
                <w:rFonts w:eastAsia="Liberation Sans"/>
                <w:sz w:val="22"/>
                <w:szCs w:val="22"/>
              </w:rPr>
            </w:pPr>
            <w:r>
              <w:rPr>
                <w:rFonts w:eastAsia="Liberation Sans"/>
                <w:sz w:val="22"/>
                <w:szCs w:val="22"/>
              </w:rPr>
              <w:t xml:space="preserve">Activitate interactivă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148F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 xml:space="preserve">Unitatea de învățare 1 </w:t>
            </w:r>
          </w:p>
          <w:p w14:paraId="2AD48233" w14:textId="77777777" w:rsidR="00D31B91" w:rsidRPr="00A5320F" w:rsidRDefault="00D31B91" w:rsidP="00D31B91">
            <w:pPr>
              <w:jc w:val="both"/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3593A69C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7C6B7E78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42DFAC97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64D2DC94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DAD61" w14:textId="77777777" w:rsidR="008C6F1E" w:rsidRPr="00A5320F" w:rsidRDefault="00D31B91" w:rsidP="008C6F1E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D31B91">
              <w:rPr>
                <w:sz w:val="22"/>
                <w:szCs w:val="22"/>
              </w:rPr>
              <w:t xml:space="preserve">2. </w:t>
            </w:r>
            <w:r w:rsidR="008C6F1E" w:rsidRPr="00A5320F">
              <w:rPr>
                <w:b/>
                <w:bCs/>
                <w:sz w:val="22"/>
                <w:szCs w:val="22"/>
                <w:lang w:val="it-IT"/>
              </w:rPr>
              <w:t>Statul bunăstării: modele și provocări</w:t>
            </w:r>
          </w:p>
          <w:p w14:paraId="6868F6F2" w14:textId="77777777" w:rsidR="008C6F1E" w:rsidRPr="00A5320F" w:rsidRDefault="008C6F1E" w:rsidP="008C6F1E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  <w:p w14:paraId="768B20F0" w14:textId="46AF38F0" w:rsidR="00A5320F" w:rsidRPr="00A5320F" w:rsidRDefault="008C6F1E" w:rsidP="008C6F1E">
            <w:pPr>
              <w:jc w:val="both"/>
              <w:rPr>
                <w:sz w:val="22"/>
                <w:szCs w:val="22"/>
                <w:lang w:val="it-IT"/>
              </w:rPr>
            </w:pPr>
            <w:r w:rsidRPr="008C6F1E">
              <w:rPr>
                <w:rFonts w:ascii="Segoe UI Emoji" w:hAnsi="Segoe UI Emoji" w:cs="Segoe UI Emoji"/>
                <w:sz w:val="22"/>
                <w:szCs w:val="22"/>
                <w:lang w:val="en-US"/>
              </w:rPr>
              <w:t>📍</w:t>
            </w:r>
            <w:r w:rsidRPr="00A5320F">
              <w:rPr>
                <w:sz w:val="22"/>
                <w:szCs w:val="22"/>
                <w:lang w:val="it-IT"/>
              </w:rPr>
              <w:t xml:space="preserve"> </w:t>
            </w:r>
            <w:r w:rsidR="00A5320F">
              <w:rPr>
                <w:sz w:val="22"/>
                <w:szCs w:val="22"/>
                <w:lang w:val="it-IT"/>
              </w:rPr>
              <w:t>Distribuţia avuţiei şi m</w:t>
            </w:r>
            <w:r w:rsidRPr="00A5320F">
              <w:rPr>
                <w:sz w:val="22"/>
                <w:szCs w:val="22"/>
                <w:lang w:val="it-IT"/>
              </w:rPr>
              <w:t xml:space="preserve">odele de stat al bunăstării: liberal, social-democrat, conservator </w:t>
            </w:r>
          </w:p>
          <w:p w14:paraId="35731653" w14:textId="77777777" w:rsidR="008C6F1E" w:rsidRPr="00A5320F" w:rsidRDefault="008C6F1E" w:rsidP="008C6F1E">
            <w:pPr>
              <w:jc w:val="both"/>
              <w:rPr>
                <w:sz w:val="22"/>
                <w:szCs w:val="22"/>
                <w:lang w:val="it-IT"/>
              </w:rPr>
            </w:pPr>
            <w:r w:rsidRPr="00A5320F">
              <w:rPr>
                <w:sz w:val="22"/>
                <w:szCs w:val="22"/>
                <w:lang w:val="it-IT"/>
              </w:rPr>
              <w:br/>
            </w:r>
            <w:r w:rsidRPr="008C6F1E">
              <w:rPr>
                <w:rFonts w:ascii="Segoe UI Emoji" w:hAnsi="Segoe UI Emoji" w:cs="Segoe UI Emoji"/>
                <w:sz w:val="22"/>
                <w:szCs w:val="22"/>
                <w:lang w:val="en-US"/>
              </w:rPr>
              <w:t>📍</w:t>
            </w:r>
            <w:r w:rsidRPr="00A5320F">
              <w:rPr>
                <w:sz w:val="22"/>
                <w:szCs w:val="22"/>
                <w:lang w:val="it-IT"/>
              </w:rPr>
              <w:t xml:space="preserve"> Criza statului bunăstării: mit sau realitate?</w:t>
            </w:r>
          </w:p>
          <w:p w14:paraId="0D0C2A5D" w14:textId="77777777" w:rsidR="008C6F1E" w:rsidRPr="00A5320F" w:rsidRDefault="008C6F1E" w:rsidP="008C6F1E">
            <w:pPr>
              <w:jc w:val="both"/>
              <w:rPr>
                <w:sz w:val="22"/>
                <w:szCs w:val="22"/>
                <w:lang w:val="it-IT"/>
              </w:rPr>
            </w:pPr>
            <w:r w:rsidRPr="00A5320F">
              <w:rPr>
                <w:sz w:val="22"/>
                <w:szCs w:val="22"/>
                <w:lang w:val="it-IT"/>
              </w:rPr>
              <w:br/>
            </w:r>
            <w:r w:rsidRPr="008C6F1E">
              <w:rPr>
                <w:rFonts w:ascii="Segoe UI Emoji" w:hAnsi="Segoe UI Emoji" w:cs="Segoe UI Emoji"/>
                <w:sz w:val="22"/>
                <w:szCs w:val="22"/>
                <w:lang w:val="en-US"/>
              </w:rPr>
              <w:t>📍</w:t>
            </w:r>
            <w:r w:rsidRPr="00A5320F">
              <w:rPr>
                <w:sz w:val="22"/>
                <w:szCs w:val="22"/>
                <w:lang w:val="it-IT"/>
              </w:rPr>
              <w:t xml:space="preserve"> Cum influențează politicile sociale economia?</w:t>
            </w:r>
          </w:p>
          <w:p w14:paraId="2E715807" w14:textId="7699579D" w:rsidR="008C6F1E" w:rsidRPr="00A5320F" w:rsidRDefault="008C6F1E" w:rsidP="008C6F1E">
            <w:pPr>
              <w:jc w:val="both"/>
              <w:rPr>
                <w:sz w:val="22"/>
                <w:szCs w:val="22"/>
                <w:lang w:val="it-IT"/>
              </w:rPr>
            </w:pPr>
            <w:r w:rsidRPr="00A5320F">
              <w:rPr>
                <w:sz w:val="22"/>
                <w:szCs w:val="22"/>
                <w:lang w:val="it-IT"/>
              </w:rPr>
              <w:br/>
            </w:r>
          </w:p>
          <w:p w14:paraId="302E4975" w14:textId="4D4ACCB3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C4DDE6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  <w:lang w:val="en-US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Exemplificarea, Explicația, Problematizarea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BCEF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  <w:t>Unitatea de învățare 2</w:t>
            </w:r>
          </w:p>
          <w:p w14:paraId="253A0ABF" w14:textId="77777777" w:rsidR="00D31B91" w:rsidRPr="00D31B91" w:rsidRDefault="00D31B91" w:rsidP="00D31B91">
            <w:pPr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3EBB06D8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280274EC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014C3D28" w14:textId="77777777" w:rsidR="00D31B91" w:rsidRPr="00D31B91" w:rsidRDefault="00D31B91" w:rsidP="00D31B91">
            <w:pPr>
              <w:rPr>
                <w:rFonts w:eastAsia="Liberation Sans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25886132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7D717F" w14:textId="2EB1A6B1" w:rsidR="0049193A" w:rsidRPr="00A5320F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3. </w:t>
            </w:r>
            <w:r w:rsidR="0049193A"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/>
              </w:rPr>
              <w:t>Politici privind reducerea sărăciei și incluziunea socială</w:t>
            </w:r>
          </w:p>
          <w:p w14:paraId="1536E268" w14:textId="5AB6B7AF" w:rsidR="0049193A" w:rsidRPr="00A5320F" w:rsidRDefault="0049193A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/>
              </w:rPr>
            </w:pPr>
            <w:r w:rsidRPr="0049193A">
              <w:rPr>
                <w:rFonts w:ascii="Segoe UI Emoji" w:eastAsia="Calibri" w:hAnsi="Segoe UI Emoji" w:cs="Segoe UI Emoji"/>
                <w:b/>
                <w:bCs/>
                <w:sz w:val="22"/>
                <w:szCs w:val="22"/>
                <w:lang w:val="en-US"/>
              </w:rPr>
              <w:t>📍</w:t>
            </w:r>
            <w:r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/>
              </w:rPr>
              <w:t>Teorii asupra sărăciei</w:t>
            </w:r>
          </w:p>
          <w:p w14:paraId="22780EE6" w14:textId="1C9F0611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lastRenderedPageBreak/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Definirea sărăciei şi tipuri de sărăcie absolută vs. relativă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</w:p>
          <w:p w14:paraId="4B1DDD5A" w14:textId="72E04779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C199FD" w14:textId="653E9E3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lastRenderedPageBreak/>
              <w:t xml:space="preserve">Explicația, Descrierea, Exemplificarea, Problematizarea, </w:t>
            </w:r>
            <w:r w:rsidRPr="00D31B91">
              <w:rPr>
                <w:rFonts w:eastAsia="Liberation Sans"/>
                <w:sz w:val="22"/>
                <w:szCs w:val="22"/>
              </w:rPr>
              <w:lastRenderedPageBreak/>
              <w:t>Brainstorming</w:t>
            </w:r>
            <w:r w:rsidR="0049193A">
              <w:rPr>
                <w:rFonts w:eastAsia="Liberation Sans"/>
                <w:sz w:val="22"/>
                <w:szCs w:val="22"/>
              </w:rPr>
              <w:t>, Dezbatere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6603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lastRenderedPageBreak/>
              <w:t>Unitatea de învățare 3</w:t>
            </w:r>
          </w:p>
          <w:p w14:paraId="5F7F5888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lastRenderedPageBreak/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Lazar Florin, Introducere in politici sociale comparate, Polirom, 2010 </w:t>
            </w:r>
          </w:p>
          <w:p w14:paraId="33743246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Pop Luana, Politici sociale, Ed. Economica, 2005 </w:t>
            </w:r>
          </w:p>
          <w:p w14:paraId="0BB96B3E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Preda, Marian, 2009, Riscuri si inechitati sociale in Romania, Polirom, Iasi </w:t>
            </w:r>
          </w:p>
          <w:p w14:paraId="6353EBC2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sz w:val="22"/>
                <w:szCs w:val="22"/>
                <w:lang w:val="it-IT"/>
              </w:rPr>
              <w:t>•</w:t>
            </w:r>
            <w:r w:rsidRPr="00D31B91">
              <w:rPr>
                <w:sz w:val="22"/>
                <w:szCs w:val="22"/>
                <w:lang w:val="it-IT"/>
              </w:rPr>
              <w:tab/>
              <w:t xml:space="preserve"> Zamfir, C., Zamfir, E., (coord.), 1995, -, "Politici Sociale"- România în context european", Bucuresti, Alternative</w:t>
            </w:r>
          </w:p>
        </w:tc>
      </w:tr>
      <w:tr w:rsidR="00D31B91" w:rsidRPr="00D31B91" w14:paraId="33BD3391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58E55" w14:textId="403316B7" w:rsidR="00D31B91" w:rsidRPr="00A5320F" w:rsidRDefault="00D31B91" w:rsidP="00D31B9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lastRenderedPageBreak/>
              <w:t xml:space="preserve">4. </w:t>
            </w:r>
            <w:r w:rsidR="0049193A"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>Politici privind reducerea sărăciei și incluziunea socială</w:t>
            </w:r>
          </w:p>
          <w:p w14:paraId="0E1CA84A" w14:textId="77777777" w:rsidR="0049193A" w:rsidRPr="00A5320F" w:rsidRDefault="0049193A" w:rsidP="00D31B9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</w:pPr>
          </w:p>
          <w:p w14:paraId="28C11260" w14:textId="76BC4D50" w:rsidR="0049193A" w:rsidRPr="00A5320F" w:rsidRDefault="0049193A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Măsuri de combatere a sărăciei: alocații, subvenții, politici de ocupare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Grupuri vulnerabile și politici inclusive</w:t>
            </w:r>
          </w:p>
          <w:p w14:paraId="321E27CE" w14:textId="0A137D78" w:rsidR="0049193A" w:rsidRPr="00A5320F" w:rsidRDefault="0049193A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Dezbatere: „Ajutoarele sociale – stimulente sau capcane ale sărăciei?”</w:t>
            </w:r>
          </w:p>
          <w:p w14:paraId="7C32448B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15A71A5B" w14:textId="77777777" w:rsidR="00D31B91" w:rsidRPr="00D31B91" w:rsidRDefault="00D31B91" w:rsidP="0049193A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ABF3E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Explicația, Descrierea, Exemplificarea, Problematizarea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917B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Unitatea de învățare 4</w:t>
            </w:r>
          </w:p>
          <w:p w14:paraId="4914DAFF" w14:textId="77777777" w:rsidR="00D31B91" w:rsidRPr="00A5320F" w:rsidRDefault="00D31B91" w:rsidP="00D31B91">
            <w:pPr>
              <w:jc w:val="both"/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40225522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0028D3CB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3951CF70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  <w:p w14:paraId="128FDA7A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</w:tr>
      <w:tr w:rsidR="00D31B91" w:rsidRPr="00D31B91" w14:paraId="36B6C3F0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BA2D6" w14:textId="77777777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5.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Politici de ocupare a forței de muncă și protecția muncii</w:t>
            </w:r>
          </w:p>
          <w:p w14:paraId="5A284359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Politici active și pasive pe piața muncii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Precaritatea muncii și efectele asupra asistenței sociale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Munca informală și economia gri</w:t>
            </w:r>
          </w:p>
          <w:p w14:paraId="62FDB63D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3A22F277" w14:textId="2498882E" w:rsidR="0049193A" w:rsidRPr="0049193A" w:rsidRDefault="0049193A" w:rsidP="0049193A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Invitat</w:t>
            </w:r>
            <w:proofErr w:type="spellEnd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 xml:space="preserve"> special: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Reprezentant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AJOFM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Activitate</w:t>
            </w:r>
            <w:proofErr w:type="spellEnd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: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Simulare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– „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Consilier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pentru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ocupare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: cum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ajutăm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un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șomer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lungă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durată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?”</w:t>
            </w:r>
          </w:p>
          <w:p w14:paraId="391A4D79" w14:textId="69BC897B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1AFE63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Explicația, Descrierea, Exemplificarea, Problematizarea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DF73A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Unitatea de învățare 5</w:t>
            </w:r>
          </w:p>
          <w:p w14:paraId="1E224F0E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Lazar Florin, Introducere in politici sociale comparate, Polirom, 2010 </w:t>
            </w:r>
          </w:p>
          <w:p w14:paraId="253F7D8A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Pop Luana, Politici sociale, Ed. Economica, 2005 </w:t>
            </w:r>
          </w:p>
          <w:p w14:paraId="0FBFEC7B" w14:textId="77777777" w:rsidR="00D31B91" w:rsidRPr="00D31B91" w:rsidRDefault="00D31B91" w:rsidP="00D31B91">
            <w:pPr>
              <w:suppressAutoHyphens/>
              <w:spacing w:line="276" w:lineRule="auto"/>
              <w:ind w:left="113" w:right="113"/>
              <w:rPr>
                <w:sz w:val="22"/>
                <w:szCs w:val="22"/>
                <w:lang w:val="it-IT" w:eastAsia="ar-SA"/>
              </w:rPr>
            </w:pPr>
            <w:r w:rsidRPr="00D31B91">
              <w:rPr>
                <w:sz w:val="22"/>
                <w:szCs w:val="22"/>
                <w:lang w:val="it-IT" w:eastAsia="ar-SA"/>
              </w:rPr>
              <w:t>•</w:t>
            </w:r>
            <w:r w:rsidRPr="00D31B91">
              <w:rPr>
                <w:sz w:val="22"/>
                <w:szCs w:val="22"/>
                <w:lang w:val="it-IT" w:eastAsia="ar-SA"/>
              </w:rPr>
              <w:tab/>
              <w:t xml:space="preserve">Preda, Marian, 2009, Riscuri si inechitati sociale in Romania, Polirom, Iasi </w:t>
            </w:r>
          </w:p>
          <w:p w14:paraId="50DFD9E3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sz w:val="22"/>
                <w:szCs w:val="22"/>
                <w:lang w:val="it-IT"/>
              </w:rPr>
              <w:t>•</w:t>
            </w:r>
            <w:r w:rsidRPr="00D31B91">
              <w:rPr>
                <w:sz w:val="22"/>
                <w:szCs w:val="22"/>
                <w:lang w:val="it-IT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4101E88C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E6935" w14:textId="77777777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6.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Politici educaționale și accesul la educație</w:t>
            </w:r>
          </w:p>
          <w:p w14:paraId="778F9FFA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Rolul educației în reducerea inegalităților sociale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Programe pentru prevenirea abandonului școlar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Educația ca drept fundamental</w:t>
            </w:r>
          </w:p>
          <w:p w14:paraId="1D76D306" w14:textId="498467D1" w:rsidR="0049193A" w:rsidRPr="0049193A" w:rsidRDefault="0049193A" w:rsidP="0049193A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Invitat</w:t>
            </w:r>
            <w:proofErr w:type="spellEnd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 xml:space="preserve"> special: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Reprezentant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ONG care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lucrează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cu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copii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defavorizați</w:t>
            </w:r>
            <w:proofErr w:type="spellEnd"/>
          </w:p>
          <w:p w14:paraId="6DDBD74B" w14:textId="728A4C91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DF4186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lastRenderedPageBreak/>
              <w:t>Explicația, Descrierea, Exemplificarea, Problematizarea, 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6D1A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Unitatea de învățare 6</w:t>
            </w:r>
          </w:p>
          <w:p w14:paraId="6323337E" w14:textId="77777777" w:rsidR="00D31B91" w:rsidRPr="00A5320F" w:rsidRDefault="00D31B91" w:rsidP="00D31B91">
            <w:pPr>
              <w:jc w:val="both"/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587B59B1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0F2CB658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415BF5AE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 Zamfir, C., Zamfir, E., (coord.), 1995, -, "Politici Sociale"- România în </w:t>
            </w:r>
            <w:r w:rsidRPr="00D31B91">
              <w:rPr>
                <w:sz w:val="22"/>
                <w:szCs w:val="22"/>
              </w:rPr>
              <w:lastRenderedPageBreak/>
              <w:t>context european", Bucuresti, Alternative.</w:t>
            </w:r>
          </w:p>
          <w:p w14:paraId="7FECF863" w14:textId="77777777" w:rsidR="00D31B91" w:rsidRPr="00A5320F" w:rsidRDefault="00D31B91" w:rsidP="00D31B91">
            <w:pPr>
              <w:jc w:val="both"/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</w:p>
        </w:tc>
      </w:tr>
      <w:tr w:rsidR="00D31B91" w:rsidRPr="00D31B91" w14:paraId="2D3340C0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3843F" w14:textId="0EAD479E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lastRenderedPageBreak/>
              <w:t xml:space="preserve">7.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Politici de sănătate și accesul la servicii medicale</w:t>
            </w:r>
          </w:p>
          <w:p w14:paraId="617530A3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Sisteme de sănătate: public vs. privat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Asigurări sociale de sănătate și probleme de echitate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Accesul la servicii medicale pentru grupurile vulnerabile</w:t>
            </w:r>
          </w:p>
          <w:p w14:paraId="6B7BFFA1" w14:textId="67D7CF8E" w:rsidR="00D31B91" w:rsidRPr="00D31B91" w:rsidRDefault="00D31B91" w:rsidP="00D31B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0AA905" w14:textId="77777777" w:rsidR="00D31B91" w:rsidRPr="00D31B91" w:rsidRDefault="00D31B91" w:rsidP="00D31B91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Resurse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învățare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inclusiv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 interactive,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Exemplificarea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Problematizarea</w:t>
            </w:r>
            <w:proofErr w:type="spell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DD17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Unitatea de învățare 7</w:t>
            </w:r>
          </w:p>
          <w:p w14:paraId="33E87EA4" w14:textId="77777777" w:rsidR="00D31B91" w:rsidRPr="00A5320F" w:rsidRDefault="00D31B91" w:rsidP="00D31B91">
            <w:pPr>
              <w:jc w:val="both"/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794F37C3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6F1B1A0A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7DC2E88A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  <w:p w14:paraId="39600087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>Goian, C. (coord.) – Asistența persoanelor vârstnice în instituții rezidențiale, Polirom 2023</w:t>
            </w:r>
          </w:p>
          <w:p w14:paraId="33010167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</w:p>
          <w:p w14:paraId="489F9566" w14:textId="77777777" w:rsidR="00D31B91" w:rsidRPr="00D31B91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D31B91" w:rsidRPr="00D31B91" w14:paraId="08D76BE8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69066" w14:textId="77777777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8.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Protecția copilului și a familiei</w:t>
            </w:r>
          </w:p>
          <w:p w14:paraId="437993D2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Politici privind protecția copilului în România și UE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Adopții, plasament familial și centre de protecție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Sprijinul acordat familiilor monoparentale și familiilor numeroase</w:t>
            </w:r>
          </w:p>
          <w:p w14:paraId="739E4170" w14:textId="4E3E34BA" w:rsidR="0049193A" w:rsidRPr="0049193A" w:rsidRDefault="0049193A" w:rsidP="0049193A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 xml:space="preserve">Joc de </w:t>
            </w:r>
            <w:proofErr w:type="spellStart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rol</w:t>
            </w:r>
            <w:proofErr w:type="spellEnd"/>
            <w:r w:rsidRPr="0049193A">
              <w:rPr>
                <w:rFonts w:ascii="Calibri" w:eastAsia="Calibri" w:hAnsi="Calibri"/>
                <w:b/>
                <w:bCs/>
                <w:sz w:val="22"/>
                <w:szCs w:val="22"/>
                <w:lang w:val="en-US" w:eastAsia="en-US"/>
              </w:rPr>
              <w:t>:</w:t>
            </w:r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„Cum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consiliem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o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familie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aflată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în </w:t>
            </w:r>
            <w:proofErr w:type="spellStart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dificultate</w:t>
            </w:r>
            <w:proofErr w:type="spellEnd"/>
            <w:r w:rsidRPr="0049193A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?”</w:t>
            </w:r>
          </w:p>
          <w:p w14:paraId="458D0203" w14:textId="19416239" w:rsidR="00D31B91" w:rsidRPr="00D31B91" w:rsidRDefault="00D31B91" w:rsidP="00D31B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931311" w14:textId="77777777" w:rsidR="00D31B91" w:rsidRPr="00D31B91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Explicația</w:t>
            </w:r>
            <w:proofErr w:type="spellEnd"/>
          </w:p>
          <w:p w14:paraId="1E4F552F" w14:textId="77777777" w:rsidR="00D31B91" w:rsidRPr="00D31B91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Descrierea</w:t>
            </w:r>
            <w:proofErr w:type="spellEnd"/>
          </w:p>
          <w:p w14:paraId="6483B607" w14:textId="77777777" w:rsidR="00D31B91" w:rsidRPr="00D31B91" w:rsidRDefault="00D31B91" w:rsidP="00D31B91">
            <w:pPr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Exemplificarea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Problematizarea</w:t>
            </w:r>
            <w:proofErr w:type="spell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0F19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rFonts w:eastAsia="Liberation Sans"/>
                <w:sz w:val="22"/>
                <w:szCs w:val="22"/>
              </w:rPr>
              <w:t>Unitatea de învățare 8</w:t>
            </w:r>
          </w:p>
          <w:p w14:paraId="73AF02C7" w14:textId="77777777" w:rsidR="00D31B91" w:rsidRPr="00A5320F" w:rsidRDefault="00D31B91" w:rsidP="00D31B91">
            <w:pPr>
              <w:jc w:val="both"/>
              <w:rPr>
                <w:rFonts w:ascii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1C0A7E30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5997AE82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2B0E9E79" w14:textId="77777777" w:rsidR="00D31B91" w:rsidRPr="00D31B91" w:rsidRDefault="00D31B91" w:rsidP="00D31B91">
            <w:pPr>
              <w:rPr>
                <w:rFonts w:eastAsia="Liberation Sans"/>
                <w:sz w:val="22"/>
                <w:szCs w:val="22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  <w:p w14:paraId="6AE25B5A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</w:pPr>
          </w:p>
        </w:tc>
      </w:tr>
      <w:tr w:rsidR="00D31B91" w:rsidRPr="00D31B91" w14:paraId="4816D4D0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657557" w14:textId="77777777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9.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Politici privind egalitatea de gen și protecția împotriva discriminării</w:t>
            </w:r>
          </w:p>
          <w:p w14:paraId="4C2DEA40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Egalitatea de șanse: principii și provocări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Măsuri anti-discriminare în legislația națională și internațională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Violența domestică și politicile de prevenție</w:t>
            </w:r>
          </w:p>
          <w:p w14:paraId="1B534C18" w14:textId="5B22E663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br/>
            </w:r>
            <w:r w:rsidRPr="0049193A">
              <w:rPr>
                <w:rFonts w:ascii="Segoe UI Emoji" w:eastAsia="Calibri" w:hAnsi="Segoe UI Emoji" w:cs="Segoe UI Emoji"/>
                <w:sz w:val="22"/>
                <w:szCs w:val="22"/>
                <w:lang w:val="en-US" w:eastAsia="en-US"/>
              </w:rPr>
              <w:t>🎯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</w:t>
            </w:r>
            <w:r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>Dezbatere:</w:t>
            </w: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 „Cotele de gen în politică, armată, educaţie etc – soluție sau discriminare pozitivă?”</w:t>
            </w:r>
          </w:p>
          <w:p w14:paraId="1167C7E3" w14:textId="659B051D" w:rsidR="00D31B91" w:rsidRPr="00D31B91" w:rsidRDefault="00D31B91" w:rsidP="00D31B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6C0FC1" w14:textId="77777777" w:rsidR="00D31B91" w:rsidRPr="00D31B91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Explicația</w:t>
            </w:r>
            <w:proofErr w:type="spellEnd"/>
          </w:p>
          <w:p w14:paraId="2DA54A1D" w14:textId="77777777" w:rsidR="00D31B91" w:rsidRPr="00D31B91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Descrierea</w:t>
            </w:r>
            <w:proofErr w:type="spellEnd"/>
          </w:p>
          <w:p w14:paraId="3918FCB3" w14:textId="77777777" w:rsidR="00D31B91" w:rsidRPr="00D31B91" w:rsidRDefault="00D31B91" w:rsidP="00D31B91">
            <w:pPr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Exemplificarea</w:t>
            </w:r>
            <w:proofErr w:type="spellEnd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31B91">
              <w:rPr>
                <w:rFonts w:ascii="Calibri" w:eastAsia="Liberation Sans" w:hAnsi="Calibri"/>
                <w:sz w:val="22"/>
                <w:szCs w:val="22"/>
                <w:lang w:val="en-US" w:eastAsia="en-US"/>
              </w:rPr>
              <w:t>Problematizarea</w:t>
            </w:r>
            <w:proofErr w:type="spell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3216B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  <w:t>Unitatea de învățare 9</w:t>
            </w:r>
          </w:p>
          <w:p w14:paraId="2345B6CD" w14:textId="77777777" w:rsidR="00D31B91" w:rsidRPr="00D31B91" w:rsidRDefault="00D31B91" w:rsidP="00D31B91">
            <w:pPr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4482A167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6276B878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7F8FBB71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215010B5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F4F70" w14:textId="77777777" w:rsidR="0049193A" w:rsidRPr="0049193A" w:rsidRDefault="00D31B91" w:rsidP="0049193A">
            <w:pPr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10. </w:t>
            </w:r>
            <w:r w:rsidR="0049193A" w:rsidRPr="0049193A">
              <w:rPr>
                <w:rFonts w:ascii="Calibri" w:eastAsia="Calibri" w:hAnsi="Calibri"/>
                <w:b/>
                <w:bCs/>
                <w:sz w:val="22"/>
                <w:szCs w:val="22"/>
              </w:rPr>
              <w:t>Politici sociale pentru persoanele cu dizabilități</w:t>
            </w:r>
          </w:p>
          <w:p w14:paraId="49CC3327" w14:textId="77777777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lastRenderedPageBreak/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Incluziunea socială a persoanelor cu dizabilități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Accesibilitatea în educație, muncă și spațiul public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  <w:r w:rsidRPr="00A5320F">
              <w:rPr>
                <w:rFonts w:ascii="Segoe UI Emoji" w:eastAsia="Calibri" w:hAnsi="Segoe UI Emoji" w:cs="Segoe UI Emoji"/>
                <w:sz w:val="22"/>
                <w:szCs w:val="22"/>
                <w:lang w:eastAsia="en-US"/>
              </w:rPr>
              <w:t>📍</w:t>
            </w: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Asistența socială și autonomia persoanelor cu dizabilități</w:t>
            </w:r>
          </w:p>
          <w:p w14:paraId="50C735FB" w14:textId="39D347FE" w:rsidR="0049193A" w:rsidRPr="00A5320F" w:rsidRDefault="0049193A" w:rsidP="004919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</w:p>
          <w:p w14:paraId="42983C1D" w14:textId="056EC42A" w:rsidR="00D31B91" w:rsidRPr="00D31B91" w:rsidRDefault="00D31B91" w:rsidP="00D31B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6FB73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lastRenderedPageBreak/>
              <w:t>Explicația</w:t>
            </w:r>
          </w:p>
          <w:p w14:paraId="6F295F97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Descrierea</w:t>
            </w:r>
          </w:p>
          <w:p w14:paraId="21450484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lastRenderedPageBreak/>
              <w:t>Exemplificarea Problematizarea</w:t>
            </w:r>
          </w:p>
          <w:p w14:paraId="6FCAFBB7" w14:textId="77777777" w:rsidR="00D31B91" w:rsidRPr="00A5320F" w:rsidRDefault="00D31B91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8B6C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  <w:lastRenderedPageBreak/>
              <w:t>Unitatea de învățare 10</w:t>
            </w:r>
          </w:p>
          <w:p w14:paraId="5D1C9675" w14:textId="77777777" w:rsidR="00D31B91" w:rsidRPr="00D31B91" w:rsidRDefault="00D31B91" w:rsidP="00D31B91">
            <w:pPr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lastRenderedPageBreak/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2CC4F9BF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1BADD5CD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76EFE2E6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  <w:p w14:paraId="6BE0920E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</w:p>
        </w:tc>
      </w:tr>
      <w:tr w:rsidR="00D31B91" w:rsidRPr="00D31B91" w14:paraId="36A63CCE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DBFB5" w14:textId="77777777" w:rsidR="00D31B91" w:rsidRPr="00D31B91" w:rsidRDefault="00D31B91" w:rsidP="00D31B9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lastRenderedPageBreak/>
              <w:t xml:space="preserve">11. </w:t>
            </w:r>
            <w:r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>Politici de integrare a romilor</w:t>
            </w:r>
          </w:p>
          <w:p w14:paraId="19D02EF7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62A673A6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11.1 Caracteristici ale comunității rome</w:t>
            </w:r>
          </w:p>
          <w:p w14:paraId="26AF90CE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11.2 Istoricul romilor în Europa și România</w:t>
            </w:r>
          </w:p>
          <w:p w14:paraId="3852FF16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11.3 Politici sociale dedicate romilor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10B712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Explicația</w:t>
            </w:r>
          </w:p>
          <w:p w14:paraId="134C23B4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Descrierea</w:t>
            </w:r>
          </w:p>
          <w:p w14:paraId="6B027506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Exemplificarea Problematizarea</w:t>
            </w:r>
          </w:p>
          <w:p w14:paraId="58504FB4" w14:textId="77777777" w:rsidR="00D31B91" w:rsidRPr="00A5320F" w:rsidRDefault="00D31B91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E9538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  <w:t>Unitatea de învățare 11</w:t>
            </w:r>
          </w:p>
          <w:p w14:paraId="767F3D3D" w14:textId="77777777" w:rsidR="00D31B91" w:rsidRPr="00D31B91" w:rsidRDefault="00D31B91" w:rsidP="00D31B91">
            <w:pPr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0A5D3A56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35939B62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7ABCC388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D31B91">
              <w:rPr>
                <w:bCs/>
                <w:sz w:val="22"/>
                <w:szCs w:val="22"/>
              </w:rPr>
              <w:t>•</w:t>
            </w:r>
            <w:r w:rsidRPr="00D31B91">
              <w:rPr>
                <w:bCs/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68B081C1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77832E" w14:textId="455D97A2" w:rsidR="00D31B91" w:rsidRPr="00D31B91" w:rsidRDefault="00D31B91" w:rsidP="00D31B9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12. </w:t>
            </w:r>
            <w:r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>Politici demografice</w:t>
            </w:r>
            <w:r w:rsidR="0049193A"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 xml:space="preserve"> şi politici privind migraţia</w:t>
            </w:r>
          </w:p>
          <w:p w14:paraId="5DF0351B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</w:p>
          <w:p w14:paraId="63322BE4" w14:textId="77777777" w:rsidR="00D31B91" w:rsidRPr="00A5320F" w:rsidRDefault="00D31B91" w:rsidP="00D31B91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12.1 Evoluții demografice</w:t>
            </w:r>
          </w:p>
          <w:p w14:paraId="67438393" w14:textId="77777777" w:rsid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12.2 Exemple de politici demografice și analiza efectelor</w:t>
            </w:r>
          </w:p>
          <w:p w14:paraId="3458C00E" w14:textId="48078FDC" w:rsidR="0049193A" w:rsidRDefault="0049193A" w:rsidP="00D31B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 Migraţia – soluţie sau izvor de noi provocări?</w:t>
            </w:r>
          </w:p>
          <w:p w14:paraId="16CAB6ED" w14:textId="77777777" w:rsidR="0049193A" w:rsidRPr="00D31B91" w:rsidRDefault="0049193A" w:rsidP="00D31B9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D8678E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Explicația</w:t>
            </w:r>
          </w:p>
          <w:p w14:paraId="7E099B08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Descrierea</w:t>
            </w:r>
          </w:p>
          <w:p w14:paraId="518D8A33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Exemplificarea Problematizarea</w:t>
            </w:r>
          </w:p>
          <w:p w14:paraId="3DFBAFF4" w14:textId="77777777" w:rsidR="00D31B91" w:rsidRPr="00A5320F" w:rsidRDefault="00D31B91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9ECEB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  <w:t>Unitatea de învățare 12</w:t>
            </w:r>
          </w:p>
          <w:p w14:paraId="5B22E5EF" w14:textId="77777777" w:rsidR="00D31B91" w:rsidRPr="00D31B91" w:rsidRDefault="00D31B91" w:rsidP="00D31B91">
            <w:pPr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Lazar Florin, Introducere in politici sociale comparate, Polirom, 2010 </w:t>
            </w:r>
          </w:p>
          <w:p w14:paraId="64DBF7AF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Pop Luana, Politici sociale, Ed. Economica, 2005 </w:t>
            </w:r>
          </w:p>
          <w:p w14:paraId="65B9EA0F" w14:textId="77777777" w:rsidR="00D31B91" w:rsidRPr="00A5320F" w:rsidRDefault="00D31B91" w:rsidP="00D31B91">
            <w:pPr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Preda, Marian, 2009, Riscuri si inechitati sociale in Romania, Polirom, Iasi </w:t>
            </w:r>
          </w:p>
          <w:p w14:paraId="28553A76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>•</w:t>
            </w: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44AF8D46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8E865" w14:textId="2207ECB7" w:rsidR="00D31B91" w:rsidRPr="00D31B91" w:rsidRDefault="00D31B91" w:rsidP="0049193A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 xml:space="preserve">13. </w:t>
            </w:r>
            <w:r w:rsidRPr="0049193A">
              <w:rPr>
                <w:b/>
                <w:bCs/>
                <w:sz w:val="22"/>
                <w:szCs w:val="22"/>
              </w:rPr>
              <w:t xml:space="preserve">Politici </w:t>
            </w:r>
            <w:r w:rsidR="0049193A" w:rsidRPr="0049193A">
              <w:rPr>
                <w:b/>
                <w:bCs/>
                <w:sz w:val="22"/>
                <w:szCs w:val="22"/>
              </w:rPr>
              <w:t>privind protecţia vârstnicilor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8559E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Explicația</w:t>
            </w:r>
          </w:p>
          <w:p w14:paraId="30A949AB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Descrierea</w:t>
            </w:r>
          </w:p>
          <w:p w14:paraId="697BF298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Exemplificarea Problematizarea</w:t>
            </w:r>
          </w:p>
          <w:p w14:paraId="5316AA61" w14:textId="77777777" w:rsidR="00D31B91" w:rsidRPr="00A5320F" w:rsidRDefault="00D31B91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31A11" w14:textId="77777777" w:rsidR="00D31B91" w:rsidRPr="00A5320F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color w:val="000000"/>
                <w:sz w:val="22"/>
                <w:szCs w:val="22"/>
                <w:lang w:val="it-IT" w:eastAsia="en-US"/>
              </w:rPr>
              <w:t xml:space="preserve"> Unitatea de învățare 13</w:t>
            </w:r>
          </w:p>
          <w:p w14:paraId="515BB4F3" w14:textId="77777777" w:rsidR="00D31B91" w:rsidRPr="00D31B91" w:rsidRDefault="00D31B91" w:rsidP="00D31B9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Politici adresate copiilor instituționalizați</w:t>
            </w:r>
          </w:p>
          <w:p w14:paraId="46399FA6" w14:textId="77777777" w:rsidR="00D31B91" w:rsidRPr="00D31B91" w:rsidRDefault="00D31B91" w:rsidP="00D31B91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13.1 </w:t>
            </w:r>
            <w:proofErr w:type="spellStart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Instituționalizarea</w:t>
            </w:r>
            <w:proofErr w:type="spellEnd"/>
          </w:p>
          <w:p w14:paraId="2BAE8730" w14:textId="77777777" w:rsidR="00D31B91" w:rsidRPr="00D31B91" w:rsidRDefault="00D31B91" w:rsidP="00D31B91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13.2 </w:t>
            </w:r>
            <w:proofErr w:type="spellStart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Adopția</w:t>
            </w:r>
            <w:proofErr w:type="spellEnd"/>
          </w:p>
          <w:p w14:paraId="6184F4C8" w14:textId="77777777" w:rsidR="00D31B91" w:rsidRPr="00D31B91" w:rsidRDefault="00D31B91" w:rsidP="00D31B91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val="en-US" w:eastAsia="en-US"/>
              </w:rPr>
            </w:pPr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13.3 </w:t>
            </w:r>
            <w:proofErr w:type="spellStart"/>
            <w:r w:rsidRPr="00D31B91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Plasamentul</w:t>
            </w:r>
            <w:proofErr w:type="spellEnd"/>
          </w:p>
        </w:tc>
      </w:tr>
      <w:tr w:rsidR="00D31B91" w:rsidRPr="00D31B91" w14:paraId="7F8C76E5" w14:textId="77777777" w:rsidTr="00D31B91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A3030" w14:textId="77777777" w:rsidR="00D31B91" w:rsidRPr="00A5320F" w:rsidRDefault="00D31B91" w:rsidP="00BE0377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 xml:space="preserve">14. </w:t>
            </w:r>
            <w:r w:rsidR="00BE0377" w:rsidRPr="00A5320F"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  <w:t>Politici sociale inovatoare în România şi în lume</w:t>
            </w:r>
          </w:p>
          <w:p w14:paraId="5DD89568" w14:textId="77777777" w:rsidR="00BE0377" w:rsidRPr="00A5320F" w:rsidRDefault="00BE0377" w:rsidP="00BE0377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it-IT" w:eastAsia="en-US"/>
              </w:rPr>
            </w:pPr>
          </w:p>
          <w:p w14:paraId="35CD4AA6" w14:textId="77777777" w:rsidR="00BE0377" w:rsidRPr="00A5320F" w:rsidRDefault="00BE0377" w:rsidP="00BE0377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lastRenderedPageBreak/>
              <w:t>14.1 Stimularea antreprenoriatului şi antreprenoriatului social</w:t>
            </w:r>
          </w:p>
          <w:p w14:paraId="00822FE1" w14:textId="77777777" w:rsidR="00BE0377" w:rsidRPr="00A5320F" w:rsidRDefault="00BE0377" w:rsidP="00BE0377">
            <w:pPr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sz w:val="22"/>
                <w:szCs w:val="22"/>
                <w:lang w:val="it-IT" w:eastAsia="en-US"/>
              </w:rPr>
              <w:t>14.2 Încurajarea sau descurajarea unor domenii</w:t>
            </w:r>
          </w:p>
          <w:p w14:paraId="22A0E58F" w14:textId="15A7A5F7" w:rsidR="00BE0377" w:rsidRPr="00D31B91" w:rsidRDefault="00BE0377" w:rsidP="00BE0377">
            <w:pPr>
              <w:rPr>
                <w:sz w:val="22"/>
                <w:szCs w:val="22"/>
              </w:rPr>
            </w:pPr>
            <w:r w:rsidRPr="00BE0377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14.3 Eco-Deal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936024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lastRenderedPageBreak/>
              <w:t>Explicația</w:t>
            </w:r>
          </w:p>
          <w:p w14:paraId="5DDBF99A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Descrierea</w:t>
            </w:r>
          </w:p>
          <w:p w14:paraId="5B036F72" w14:textId="77777777" w:rsidR="00D31B91" w:rsidRPr="00A5320F" w:rsidRDefault="00D31B91" w:rsidP="00D31B91">
            <w:pPr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t>Exemplificarea Problematizarea</w:t>
            </w:r>
          </w:p>
          <w:p w14:paraId="2DD754D6" w14:textId="77777777" w:rsidR="00D31B91" w:rsidRPr="00A5320F" w:rsidRDefault="00D31B91" w:rsidP="00D31B91">
            <w:pPr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Liberation Sans" w:hAnsi="Calibri"/>
                <w:sz w:val="22"/>
                <w:szCs w:val="22"/>
                <w:lang w:val="it-IT" w:eastAsia="en-US"/>
              </w:rPr>
              <w:lastRenderedPageBreak/>
              <w:t>Brainstorming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E6937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A5320F"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  <w:lastRenderedPageBreak/>
              <w:t>Unitatea de învățare 14</w:t>
            </w:r>
          </w:p>
          <w:p w14:paraId="477723CB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Lazar Florin, Introducere in politici sociale comparate, Polirom, 2010 </w:t>
            </w:r>
          </w:p>
          <w:p w14:paraId="40A50128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lastRenderedPageBreak/>
              <w:t>•</w:t>
            </w:r>
            <w:r w:rsidRPr="00D31B91">
              <w:rPr>
                <w:sz w:val="22"/>
                <w:szCs w:val="22"/>
              </w:rPr>
              <w:tab/>
              <w:t xml:space="preserve">Pop Luana, Politici sociale, Ed. Economica, 2005 </w:t>
            </w:r>
          </w:p>
          <w:p w14:paraId="152A3047" w14:textId="77777777" w:rsidR="00D31B91" w:rsidRPr="00D31B91" w:rsidRDefault="00D31B91" w:rsidP="00D31B91">
            <w:pPr>
              <w:rPr>
                <w:sz w:val="22"/>
                <w:szCs w:val="22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Preda, Marian, 2009, Riscuri si inechitati sociale in Romania, Polirom, Iasi </w:t>
            </w:r>
          </w:p>
          <w:p w14:paraId="0E8AD7FB" w14:textId="77777777" w:rsidR="00D31B91" w:rsidRPr="00A5320F" w:rsidRDefault="00D31B91" w:rsidP="00D31B91">
            <w:pPr>
              <w:rPr>
                <w:rFonts w:eastAsia="Calibri"/>
                <w:color w:val="000000"/>
                <w:sz w:val="22"/>
                <w:szCs w:val="22"/>
                <w:lang w:val="it-IT" w:eastAsia="en-US"/>
              </w:rPr>
            </w:pPr>
            <w:r w:rsidRPr="00D31B91">
              <w:rPr>
                <w:sz w:val="22"/>
                <w:szCs w:val="22"/>
              </w:rPr>
              <w:t>•</w:t>
            </w:r>
            <w:r w:rsidRPr="00D31B91">
              <w:rPr>
                <w:sz w:val="22"/>
                <w:szCs w:val="22"/>
              </w:rPr>
              <w:tab/>
              <w:t xml:space="preserve"> Zamfir, C., Zamfir, E., (coord.), 1995, -, "Politici Sociale"- România în context european", Bucuresti, Alternative.</w:t>
            </w:r>
          </w:p>
        </w:tc>
      </w:tr>
      <w:tr w:rsidR="00D31B91" w:rsidRPr="00D31B91" w14:paraId="065D7BBD" w14:textId="77777777" w:rsidTr="00D31B91">
        <w:tc>
          <w:tcPr>
            <w:tcW w:w="9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A30AB" w14:textId="77777777" w:rsidR="00D31B91" w:rsidRPr="00D31B91" w:rsidRDefault="00D31B91" w:rsidP="00D31B91">
            <w:pPr>
              <w:rPr>
                <w:rFonts w:eastAsia="Liberation Sans"/>
                <w:b/>
                <w:bCs/>
                <w:sz w:val="22"/>
                <w:szCs w:val="22"/>
              </w:rPr>
            </w:pPr>
            <w:r w:rsidRPr="00D31B91">
              <w:rPr>
                <w:rFonts w:eastAsia="Liberation Sans"/>
                <w:b/>
                <w:bCs/>
                <w:sz w:val="22"/>
                <w:szCs w:val="22"/>
              </w:rPr>
              <w:lastRenderedPageBreak/>
              <w:t>Bibliografie:</w:t>
            </w:r>
          </w:p>
          <w:p w14:paraId="63E9E52A" w14:textId="77777777" w:rsidR="00D31B91" w:rsidRPr="00A5320F" w:rsidRDefault="00D31B91" w:rsidP="00D31B91">
            <w:pPr>
              <w:numPr>
                <w:ilvl w:val="0"/>
                <w:numId w:val="39"/>
              </w:numPr>
              <w:jc w:val="both"/>
              <w:rPr>
                <w:rFonts w:ascii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 xml:space="preserve">Lazar Florin, Introducere in politici sociale comparate, Polirom, 2010 </w:t>
            </w:r>
          </w:p>
          <w:p w14:paraId="1F095C51" w14:textId="77777777" w:rsidR="00D31B91" w:rsidRPr="00D31B91" w:rsidRDefault="00D31B91" w:rsidP="00D31B91">
            <w:pPr>
              <w:numPr>
                <w:ilvl w:val="0"/>
                <w:numId w:val="39"/>
              </w:numPr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 xml:space="preserve">Pop Luana, Politici sociale, Ed. </w:t>
            </w:r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Economica, 2005 </w:t>
            </w:r>
          </w:p>
          <w:p w14:paraId="45276405" w14:textId="77777777" w:rsidR="00D31B91" w:rsidRPr="00A5320F" w:rsidRDefault="00D31B91" w:rsidP="00D31B91">
            <w:pPr>
              <w:numPr>
                <w:ilvl w:val="0"/>
                <w:numId w:val="39"/>
              </w:num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 xml:space="preserve">Preda, Marian, 2009, Riscuri si inechitati sociale in Romania, Polirom, Iasi </w:t>
            </w:r>
          </w:p>
          <w:p w14:paraId="1334F06E" w14:textId="77777777" w:rsidR="00D31B91" w:rsidRPr="00A5320F" w:rsidRDefault="00D31B91" w:rsidP="00D31B91">
            <w:pPr>
              <w:numPr>
                <w:ilvl w:val="0"/>
                <w:numId w:val="39"/>
              </w:numPr>
              <w:jc w:val="both"/>
              <w:rPr>
                <w:rFonts w:ascii="Calibri" w:eastAsia="Calibri" w:hAnsi="Calibri"/>
                <w:sz w:val="22"/>
                <w:szCs w:val="22"/>
                <w:lang w:val="it-IT" w:eastAsia="en-US"/>
              </w:rPr>
            </w:pPr>
            <w:r w:rsidRPr="00A5320F">
              <w:rPr>
                <w:rFonts w:ascii="Calibri" w:eastAsia="Calibri" w:hAnsi="Calibri"/>
                <w:bCs/>
                <w:sz w:val="22"/>
                <w:szCs w:val="22"/>
                <w:lang w:val="it-IT" w:eastAsia="en-US"/>
              </w:rPr>
              <w:t xml:space="preserve"> Zamfir, C., Zamfir, E., (coord.), 1995, -, "Politici Sociale"- România în context european", Bucuresti, Alternative.</w:t>
            </w:r>
          </w:p>
          <w:p w14:paraId="70F872EA" w14:textId="77777777" w:rsidR="00D31B91" w:rsidRPr="00D31B91" w:rsidRDefault="00D31B91" w:rsidP="00D31B91">
            <w:pPr>
              <w:numPr>
                <w:ilvl w:val="0"/>
                <w:numId w:val="39"/>
              </w:numPr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Goian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, C. (coord.) –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Asistența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persoanelor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vârstnice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 în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instituții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rezidențiale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>Polirom</w:t>
            </w:r>
            <w:proofErr w:type="spellEnd"/>
            <w:r w:rsidRPr="00D31B91">
              <w:rPr>
                <w:rFonts w:ascii="Calibri" w:eastAsia="Calibri" w:hAnsi="Calibri"/>
                <w:bCs/>
                <w:sz w:val="22"/>
                <w:szCs w:val="22"/>
                <w:lang w:val="en-US" w:eastAsia="en-US"/>
              </w:rPr>
              <w:t xml:space="preserve"> 2023</w:t>
            </w:r>
          </w:p>
        </w:tc>
      </w:tr>
    </w:tbl>
    <w:p w14:paraId="13DA0F39" w14:textId="77777777" w:rsidR="00D31B91" w:rsidRDefault="00D31B91" w:rsidP="00D31B91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7C5F1B96" w14:textId="77777777" w:rsidTr="00E27A2E">
        <w:tc>
          <w:tcPr>
            <w:tcW w:w="3128" w:type="dxa"/>
          </w:tcPr>
          <w:p w14:paraId="0CA282A9" w14:textId="1809AB2B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bookmarkStart w:id="0" w:name="_Hlk127904513"/>
            <w:r w:rsidRPr="002644F8">
              <w:rPr>
                <w:rFonts w:asciiTheme="minorHAnsi" w:hAnsiTheme="minorHAnsi" w:cstheme="minorHAnsi"/>
              </w:rPr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</w:tcPr>
          <w:p w14:paraId="5DEFB08A" w14:textId="0D3E0392" w:rsidR="00802D13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</w:t>
            </w:r>
            <w:r w:rsidR="00447FD0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 xml:space="preserve">1 Evaluare inițială a cunoștințelor despre </w:t>
            </w:r>
            <w:r w:rsidR="00447FD0">
              <w:rPr>
                <w:rFonts w:asciiTheme="minorHAnsi" w:hAnsiTheme="minorHAnsi" w:cstheme="minorHAnsi"/>
                <w:lang w:val="ro-RO"/>
              </w:rPr>
              <w:t>politicile sociale</w:t>
            </w:r>
          </w:p>
        </w:tc>
        <w:tc>
          <w:tcPr>
            <w:tcW w:w="3128" w:type="dxa"/>
          </w:tcPr>
          <w:p w14:paraId="782A6FC6" w14:textId="28703C06" w:rsidR="00064086" w:rsidRP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064086">
              <w:rPr>
                <w:rFonts w:asciiTheme="minorHAnsi" w:hAnsiTheme="minorHAnsi" w:cstheme="minorHAnsi"/>
                <w:bCs/>
                <w:lang w:val="ro-RO"/>
              </w:rPr>
              <w:t>Explicați</w:t>
            </w:r>
            <w:r>
              <w:rPr>
                <w:rFonts w:asciiTheme="minorHAnsi" w:hAnsiTheme="minorHAnsi" w:cstheme="minorHAnsi"/>
                <w:bCs/>
                <w:lang w:val="ro-RO"/>
              </w:rPr>
              <w:t>i</w:t>
            </w:r>
            <w:r w:rsidRPr="00064086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</w:p>
          <w:p w14:paraId="4ACC4ACA" w14:textId="46468125" w:rsidR="00064086" w:rsidRDefault="00665CB3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  <w:p w14:paraId="5F0F8C3E" w14:textId="77777777" w:rsidR="008C6F1E" w:rsidRDefault="008C6F1E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4F5484C9" w14:textId="31E6C000" w:rsidR="00802D13" w:rsidRPr="00064086" w:rsidRDefault="008C6F1E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8C6F1E">
              <w:rPr>
                <w:rFonts w:ascii="Segoe UI Emoji" w:hAnsi="Segoe UI Emoji" w:cs="Segoe UI Emoji"/>
                <w:bCs/>
                <w:lang w:val="ro-RO"/>
              </w:rPr>
              <w:t>🎯</w:t>
            </w:r>
            <w:r w:rsidRPr="008C6F1E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  <w:r w:rsidRPr="008C6F1E">
              <w:rPr>
                <w:rFonts w:asciiTheme="minorHAnsi" w:hAnsiTheme="minorHAnsi" w:cstheme="minorHAnsi"/>
                <w:b/>
                <w:bCs/>
                <w:lang w:val="ro-RO"/>
              </w:rPr>
              <w:t>Activitate interactivă:</w:t>
            </w:r>
            <w:r w:rsidRPr="008C6F1E">
              <w:rPr>
                <w:rFonts w:asciiTheme="minorHAnsi" w:hAnsiTheme="minorHAnsi" w:cstheme="minorHAnsi"/>
                <w:bCs/>
                <w:lang w:val="ro-RO"/>
              </w:rPr>
              <w:t xml:space="preserve"> Brainstorming – „Dacă aș fi ministrul Muncii, ce problemă socială aș rezolva prima?”</w:t>
            </w:r>
          </w:p>
        </w:tc>
        <w:tc>
          <w:tcPr>
            <w:tcW w:w="3129" w:type="dxa"/>
          </w:tcPr>
          <w:p w14:paraId="7876E703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02D13" w:rsidRPr="00C4385C" w14:paraId="18DD56B5" w14:textId="77777777" w:rsidTr="00E27A2E">
        <w:tc>
          <w:tcPr>
            <w:tcW w:w="3128" w:type="dxa"/>
          </w:tcPr>
          <w:p w14:paraId="03C669FA" w14:textId="47059652" w:rsidR="00802D13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2 </w:t>
            </w:r>
            <w:r w:rsidR="00447FD0">
              <w:rPr>
                <w:rFonts w:asciiTheme="minorHAnsi" w:hAnsiTheme="minorHAnsi" w:cstheme="minorHAnsi"/>
                <w:lang w:val="ro-RO"/>
              </w:rPr>
              <w:t xml:space="preserve"> Analiz</w:t>
            </w:r>
            <w:r w:rsidR="008C6F1E">
              <w:rPr>
                <w:rFonts w:asciiTheme="minorHAnsi" w:hAnsiTheme="minorHAnsi" w:cstheme="minorHAnsi"/>
                <w:lang w:val="ro-RO"/>
              </w:rPr>
              <w:t>ă exemplificativă a</w:t>
            </w:r>
            <w:r w:rsidR="00447FD0">
              <w:rPr>
                <w:rFonts w:asciiTheme="minorHAnsi" w:hAnsiTheme="minorHAnsi" w:cstheme="minorHAnsi"/>
                <w:lang w:val="ro-RO"/>
              </w:rPr>
              <w:t xml:space="preserve"> politicilor sociale</w:t>
            </w:r>
          </w:p>
        </w:tc>
        <w:tc>
          <w:tcPr>
            <w:tcW w:w="3128" w:type="dxa"/>
          </w:tcPr>
          <w:p w14:paraId="0AF5C663" w14:textId="77777777" w:rsidR="008C6F1E" w:rsidRDefault="008C6F1E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8C6F1E">
              <w:rPr>
                <w:rFonts w:ascii="Segoe UI Emoji" w:hAnsi="Segoe UI Emoji" w:cs="Segoe UI Emoji"/>
                <w:bCs/>
                <w:lang w:val="ro-RO"/>
              </w:rPr>
              <w:t>🎯</w:t>
            </w:r>
            <w:r w:rsidRPr="008C6F1E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  <w:r w:rsidRPr="008C6F1E">
              <w:rPr>
                <w:rFonts w:asciiTheme="minorHAnsi" w:hAnsiTheme="minorHAnsi" w:cstheme="minorHAnsi"/>
                <w:b/>
                <w:bCs/>
                <w:lang w:val="ro-RO"/>
              </w:rPr>
              <w:t>Studiu de caz:</w:t>
            </w:r>
            <w:r w:rsidRPr="008C6F1E">
              <w:rPr>
                <w:rFonts w:asciiTheme="minorHAnsi" w:hAnsiTheme="minorHAnsi" w:cstheme="minorHAnsi"/>
                <w:bCs/>
                <w:lang w:val="ro-RO"/>
              </w:rPr>
              <w:t xml:space="preserve"> Compararea modelelor de protecție socială în Suedia, SUA și România </w:t>
            </w:r>
          </w:p>
          <w:p w14:paraId="78F5ED8C" w14:textId="77777777" w:rsidR="008C6F1E" w:rsidRDefault="008C6F1E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47C46D47" w14:textId="11C86B28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064086">
              <w:rPr>
                <w:rFonts w:asciiTheme="minorHAnsi" w:hAnsiTheme="minorHAnsi" w:cstheme="minorHAnsi"/>
                <w:bCs/>
                <w:lang w:val="ro-RO"/>
              </w:rPr>
              <w:t>Explicați</w:t>
            </w:r>
            <w:r>
              <w:rPr>
                <w:rFonts w:asciiTheme="minorHAnsi" w:hAnsiTheme="minorHAnsi" w:cstheme="minorHAnsi"/>
                <w:bCs/>
                <w:lang w:val="ro-RO"/>
              </w:rPr>
              <w:t>i</w:t>
            </w:r>
          </w:p>
          <w:p w14:paraId="2319DC9D" w14:textId="44E7B5E8" w:rsidR="00064086" w:rsidRP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Exemple</w:t>
            </w:r>
            <w:r w:rsidRPr="00064086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</w:p>
          <w:p w14:paraId="22BBF418" w14:textId="77777777" w:rsidR="00802D13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064086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6DDC5DAE" w14:textId="293CB9D7" w:rsidR="00665CB3" w:rsidRPr="00064086" w:rsidRDefault="00665CB3" w:rsidP="00802D1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</w:tc>
        <w:tc>
          <w:tcPr>
            <w:tcW w:w="3129" w:type="dxa"/>
          </w:tcPr>
          <w:p w14:paraId="3A02CF74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064086" w:rsidRPr="00C4385C" w14:paraId="6C341DF1" w14:textId="77777777" w:rsidTr="00E27A2E">
        <w:tc>
          <w:tcPr>
            <w:tcW w:w="3128" w:type="dxa"/>
          </w:tcPr>
          <w:p w14:paraId="0EA79EC6" w14:textId="4F1EE711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3 </w:t>
            </w:r>
            <w:r w:rsidR="00665CB3" w:rsidRPr="00665CB3">
              <w:rPr>
                <w:rFonts w:asciiTheme="minorHAnsi" w:hAnsiTheme="minorHAnsi" w:cstheme="minorHAnsi"/>
                <w:lang w:val="ro-RO"/>
              </w:rPr>
              <w:t>Politici sociale legate de familie și reproducere: homosexualitate, poligamie, inseminare artificială, copii cu mai mulți părinți</w:t>
            </w:r>
            <w:r w:rsidR="008C6F1E">
              <w:rPr>
                <w:rFonts w:asciiTheme="minorHAnsi" w:hAnsiTheme="minorHAnsi" w:cstheme="minorHAnsi"/>
                <w:lang w:val="ro-RO"/>
              </w:rPr>
              <w:t>, mame purtătoare</w:t>
            </w:r>
          </w:p>
        </w:tc>
        <w:tc>
          <w:tcPr>
            <w:tcW w:w="3128" w:type="dxa"/>
          </w:tcPr>
          <w:p w14:paraId="61995FD9" w14:textId="77777777" w:rsidR="00064086" w:rsidRPr="00064086" w:rsidRDefault="00064086" w:rsidP="00064086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064086">
              <w:rPr>
                <w:rFonts w:asciiTheme="minorHAnsi" w:hAnsiTheme="minorHAnsi" w:cstheme="minorHAnsi"/>
                <w:bCs/>
                <w:lang w:val="ro-RO"/>
              </w:rPr>
              <w:t>Explicația</w:t>
            </w:r>
          </w:p>
          <w:p w14:paraId="634232A9" w14:textId="77777777" w:rsidR="00064086" w:rsidRDefault="00064086" w:rsidP="00064086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064086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4F82D6F0" w14:textId="0E0C1A79" w:rsidR="00665CB3" w:rsidRPr="00064086" w:rsidRDefault="00665CB3" w:rsidP="00064086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</w:tc>
        <w:tc>
          <w:tcPr>
            <w:tcW w:w="3129" w:type="dxa"/>
          </w:tcPr>
          <w:p w14:paraId="697C9A30" w14:textId="77777777" w:rsidR="00064086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064086" w:rsidRPr="00C4385C" w14:paraId="2651BABB" w14:textId="77777777" w:rsidTr="00E27A2E">
        <w:tc>
          <w:tcPr>
            <w:tcW w:w="3128" w:type="dxa"/>
          </w:tcPr>
          <w:p w14:paraId="1A487910" w14:textId="3B581E56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4 </w:t>
            </w:r>
            <w:r w:rsidR="00665CB3">
              <w:rPr>
                <w:rFonts w:asciiTheme="minorHAnsi" w:hAnsiTheme="minorHAnsi" w:cstheme="minorHAnsi"/>
                <w:lang w:val="ro-RO"/>
              </w:rPr>
              <w:t>Inteligența artificială și impactul acesteia asupra politicilor sociale actuale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3128" w:type="dxa"/>
          </w:tcPr>
          <w:p w14:paraId="57C5F021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Explicația</w:t>
            </w:r>
          </w:p>
          <w:p w14:paraId="5F9A068A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695916AE" w14:textId="32F9D332" w:rsidR="00064086" w:rsidRPr="00064086" w:rsidRDefault="00665CB3" w:rsidP="00665CB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</w:tc>
        <w:tc>
          <w:tcPr>
            <w:tcW w:w="3129" w:type="dxa"/>
          </w:tcPr>
          <w:p w14:paraId="19C7F013" w14:textId="77777777" w:rsidR="00064086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064086" w:rsidRPr="00C4385C" w14:paraId="3CEA16BF" w14:textId="77777777" w:rsidTr="00E27A2E">
        <w:tc>
          <w:tcPr>
            <w:tcW w:w="3128" w:type="dxa"/>
          </w:tcPr>
          <w:p w14:paraId="5CACDB88" w14:textId="0B272DC5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5 </w:t>
            </w:r>
            <w:r w:rsidR="00665CB3">
              <w:rPr>
                <w:rFonts w:asciiTheme="minorHAnsi" w:hAnsiTheme="minorHAnsi" w:cstheme="minorHAnsi"/>
                <w:lang w:val="ro-RO"/>
              </w:rPr>
              <w:t>Politici sociale legate de viață: pedeapsa cu moartea, avortul, eutanasia</w:t>
            </w:r>
            <w:r w:rsidR="008C6F1E">
              <w:rPr>
                <w:rFonts w:asciiTheme="minorHAnsi" w:hAnsiTheme="minorHAnsi" w:cstheme="minorHAnsi"/>
                <w:lang w:val="ro-RO"/>
              </w:rPr>
              <w:t>, clonarea, organismele modificate genetic, fuziunea om-tehnologie</w:t>
            </w:r>
          </w:p>
        </w:tc>
        <w:tc>
          <w:tcPr>
            <w:tcW w:w="3128" w:type="dxa"/>
          </w:tcPr>
          <w:p w14:paraId="2434360A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Explicația</w:t>
            </w:r>
          </w:p>
          <w:p w14:paraId="0209D9CE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6E6ECED0" w14:textId="4EF561D7" w:rsidR="00064086" w:rsidRPr="00064086" w:rsidRDefault="00665CB3" w:rsidP="00665CB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</w:tc>
        <w:tc>
          <w:tcPr>
            <w:tcW w:w="3129" w:type="dxa"/>
          </w:tcPr>
          <w:p w14:paraId="2C00FCAC" w14:textId="77777777" w:rsidR="00064086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064086" w:rsidRPr="00C4385C" w14:paraId="507DF1C7" w14:textId="77777777" w:rsidTr="00E27A2E">
        <w:tc>
          <w:tcPr>
            <w:tcW w:w="3128" w:type="dxa"/>
          </w:tcPr>
          <w:p w14:paraId="489D31C2" w14:textId="76DCE2E3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6 </w:t>
            </w:r>
            <w:r w:rsidR="00665CB3">
              <w:rPr>
                <w:rFonts w:asciiTheme="minorHAnsi" w:hAnsiTheme="minorHAnsi" w:cstheme="minorHAnsi"/>
                <w:lang w:val="ro-RO"/>
              </w:rPr>
              <w:t xml:space="preserve">Politici sociale legate de propriul corp: transplantul de </w:t>
            </w:r>
            <w:r w:rsidR="00665CB3">
              <w:rPr>
                <w:rFonts w:asciiTheme="minorHAnsi" w:hAnsiTheme="minorHAnsi" w:cstheme="minorHAnsi"/>
                <w:lang w:val="ro-RO"/>
              </w:rPr>
              <w:lastRenderedPageBreak/>
              <w:t xml:space="preserve">organe, operațiile de schimbare de sex, </w:t>
            </w:r>
            <w:r w:rsidR="00847631">
              <w:rPr>
                <w:rFonts w:asciiTheme="minorHAnsi" w:hAnsiTheme="minorHAnsi" w:cstheme="minorHAnsi"/>
                <w:lang w:val="ro-RO"/>
              </w:rPr>
              <w:t>prostituția</w:t>
            </w:r>
            <w:r w:rsidR="00A5320F">
              <w:rPr>
                <w:rFonts w:asciiTheme="minorHAnsi" w:hAnsiTheme="minorHAnsi" w:cstheme="minorHAnsi"/>
                <w:lang w:val="ro-RO"/>
              </w:rPr>
              <w:t>, inseminarea artificială, mame purtător etc</w:t>
            </w:r>
            <w:r w:rsidR="008C6F1E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3128" w:type="dxa"/>
          </w:tcPr>
          <w:p w14:paraId="55B96314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lastRenderedPageBreak/>
              <w:t>Explicația</w:t>
            </w:r>
          </w:p>
          <w:p w14:paraId="441ACE9B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518AAED3" w14:textId="5374F011" w:rsidR="00064086" w:rsidRPr="00064086" w:rsidRDefault="00665CB3" w:rsidP="00665CB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lastRenderedPageBreak/>
              <w:t>Dezbatere</w:t>
            </w:r>
          </w:p>
        </w:tc>
        <w:tc>
          <w:tcPr>
            <w:tcW w:w="3129" w:type="dxa"/>
          </w:tcPr>
          <w:p w14:paraId="5061BC34" w14:textId="77777777" w:rsidR="00064086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064086" w:rsidRPr="00C4385C" w14:paraId="108EFF82" w14:textId="77777777" w:rsidTr="00E27A2E">
        <w:tc>
          <w:tcPr>
            <w:tcW w:w="3128" w:type="dxa"/>
          </w:tcPr>
          <w:p w14:paraId="2DC6B5D3" w14:textId="3C89E26B" w:rsidR="00064086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 7 </w:t>
            </w:r>
            <w:r w:rsidR="00847631">
              <w:rPr>
                <w:rFonts w:asciiTheme="minorHAnsi" w:hAnsiTheme="minorHAnsi" w:cstheme="minorHAnsi"/>
                <w:lang w:val="ro-RO"/>
              </w:rPr>
              <w:t>Politici sociale legate de consumul unor substanțe (alcool, țigări, droguri)</w:t>
            </w:r>
          </w:p>
        </w:tc>
        <w:tc>
          <w:tcPr>
            <w:tcW w:w="3128" w:type="dxa"/>
          </w:tcPr>
          <w:p w14:paraId="199F7973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Explicația</w:t>
            </w:r>
          </w:p>
          <w:p w14:paraId="1603005B" w14:textId="77777777" w:rsidR="00665CB3" w:rsidRPr="00665CB3" w:rsidRDefault="00665CB3" w:rsidP="00665CB3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Brainstorming</w:t>
            </w:r>
          </w:p>
          <w:p w14:paraId="3B3A358F" w14:textId="0C3152CB" w:rsidR="00064086" w:rsidRPr="00064086" w:rsidRDefault="00665CB3" w:rsidP="00665CB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665CB3">
              <w:rPr>
                <w:rFonts w:asciiTheme="minorHAnsi" w:hAnsiTheme="minorHAnsi" w:cstheme="minorHAnsi"/>
                <w:bCs/>
                <w:lang w:val="ro-RO"/>
              </w:rPr>
              <w:t>Dezbatere</w:t>
            </w:r>
          </w:p>
        </w:tc>
        <w:tc>
          <w:tcPr>
            <w:tcW w:w="3129" w:type="dxa"/>
          </w:tcPr>
          <w:p w14:paraId="43257F3C" w14:textId="77777777" w:rsidR="00064086" w:rsidRPr="002644F8" w:rsidRDefault="0006408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02D13" w:rsidRPr="00C4385C" w14:paraId="53EC0F9B" w14:textId="77777777" w:rsidTr="007F0615">
        <w:tc>
          <w:tcPr>
            <w:tcW w:w="9385" w:type="dxa"/>
            <w:gridSpan w:val="3"/>
          </w:tcPr>
          <w:p w14:paraId="40B81B30" w14:textId="24754FAD" w:rsidR="00880E0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  <w:r w:rsidR="00064086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437E5DBD" w14:textId="77777777" w:rsidR="00880E08" w:rsidRDefault="00880E08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0FB4DA87" w14:textId="16E2FE8E" w:rsidR="00447FD0" w:rsidRPr="00A5320F" w:rsidRDefault="00447FD0" w:rsidP="00447FD0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it-IT"/>
              </w:rPr>
            </w:pPr>
            <w:r w:rsidRPr="00A5320F">
              <w:rPr>
                <w:rFonts w:asciiTheme="minorHAnsi" w:hAnsiTheme="minorHAnsi" w:cstheme="minorHAnsi"/>
                <w:bCs/>
                <w:lang w:val="it-IT"/>
              </w:rPr>
              <w:t>1</w:t>
            </w:r>
            <w:r w:rsidRPr="00A5320F">
              <w:rPr>
                <w:rFonts w:asciiTheme="minorHAnsi" w:hAnsiTheme="minorHAnsi" w:cstheme="minorHAnsi"/>
                <w:bCs/>
                <w:lang w:val="it-IT"/>
              </w:rPr>
              <w:tab/>
              <w:t xml:space="preserve">Lazar Florin, Introducere in politici sociale comparate, Polirom, 2010 </w:t>
            </w:r>
          </w:p>
          <w:p w14:paraId="28302B63" w14:textId="7D4BE680" w:rsidR="00447FD0" w:rsidRPr="00447FD0" w:rsidRDefault="00447FD0" w:rsidP="00447FD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A5320F">
              <w:rPr>
                <w:rFonts w:asciiTheme="minorHAnsi" w:hAnsiTheme="minorHAnsi" w:cstheme="minorHAnsi"/>
                <w:bCs/>
                <w:lang w:val="it-IT"/>
              </w:rPr>
              <w:t xml:space="preserve">        Pop Luana, Politici sociale, Ed. </w:t>
            </w:r>
            <w:r w:rsidRPr="00447FD0">
              <w:rPr>
                <w:rFonts w:asciiTheme="minorHAnsi" w:hAnsiTheme="minorHAnsi" w:cstheme="minorHAnsi"/>
                <w:bCs/>
              </w:rPr>
              <w:t xml:space="preserve">Economica, 2005 </w:t>
            </w:r>
          </w:p>
          <w:p w14:paraId="5AFD2D3C" w14:textId="798152FC" w:rsidR="00447FD0" w:rsidRPr="00A5320F" w:rsidRDefault="00447FD0" w:rsidP="00447FD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bCs/>
                <w:lang w:val="it-IT"/>
              </w:rPr>
            </w:pPr>
            <w:r w:rsidRPr="00A5320F">
              <w:rPr>
                <w:rFonts w:asciiTheme="minorHAnsi" w:hAnsiTheme="minorHAnsi" w:cstheme="minorHAnsi"/>
                <w:bCs/>
                <w:lang w:val="it-IT"/>
              </w:rPr>
              <w:tab/>
              <w:t xml:space="preserve">Preda, Marian, 2009, Riscuri si inechitati sociale in Romania, Polirom, Iasi </w:t>
            </w:r>
          </w:p>
          <w:p w14:paraId="57B21B7F" w14:textId="2A82BD8C" w:rsidR="00802D13" w:rsidRPr="002644F8" w:rsidRDefault="00447FD0" w:rsidP="00447FD0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4</w:t>
            </w:r>
            <w:r w:rsidRPr="00447FD0">
              <w:rPr>
                <w:rFonts w:asciiTheme="minorHAnsi" w:hAnsiTheme="minorHAnsi" w:cstheme="minorHAnsi"/>
                <w:bCs/>
                <w:lang w:val="ro-RO"/>
              </w:rPr>
              <w:tab/>
              <w:t>Zamfir, C., Zamfir, E., (coord.), 1995, -, "Politici Sociale"- România în context european", Bucuresti, Alternative.</w:t>
            </w:r>
            <w:r w:rsidR="00880E08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5E328A2F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bookmarkEnd w:id="0"/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58554302" w:rsidR="00E0255D" w:rsidRPr="00C4385C" w:rsidRDefault="0005660B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05660B">
              <w:rPr>
                <w:rFonts w:asciiTheme="minorHAnsi" w:hAnsiTheme="minorHAnsi" w:cstheme="minorHAnsi"/>
                <w:lang w:val="ro-RO"/>
              </w:rPr>
              <w:t>Disciplina “</w:t>
            </w:r>
            <w:r w:rsidR="00847631">
              <w:rPr>
                <w:rFonts w:asciiTheme="minorHAnsi" w:hAnsiTheme="minorHAnsi" w:cstheme="minorHAnsi"/>
                <w:lang w:val="ro-RO"/>
              </w:rPr>
              <w:t>Politici sociale</w:t>
            </w:r>
            <w:r w:rsidRPr="0005660B">
              <w:rPr>
                <w:rFonts w:asciiTheme="minorHAnsi" w:hAnsiTheme="minorHAnsi" w:cstheme="minorHAnsi"/>
                <w:lang w:val="ro-RO"/>
              </w:rPr>
              <w:t xml:space="preserve">” este necesară deoarece permite </w:t>
            </w:r>
            <w:r>
              <w:rPr>
                <w:rFonts w:asciiTheme="minorHAnsi" w:hAnsiTheme="minorHAnsi" w:cstheme="minorHAnsi"/>
                <w:lang w:val="ro-RO"/>
              </w:rPr>
              <w:t xml:space="preserve">înețelegerea mai bună a societății și a </w:t>
            </w:r>
            <w:r w:rsidR="00847631">
              <w:rPr>
                <w:rFonts w:asciiTheme="minorHAnsi" w:hAnsiTheme="minorHAnsi" w:cstheme="minorHAnsi"/>
                <w:lang w:val="ro-RO"/>
              </w:rPr>
              <w:t xml:space="preserve">nevoilor pe care le au membri ai </w:t>
            </w:r>
            <w:r>
              <w:rPr>
                <w:rFonts w:asciiTheme="minorHAnsi" w:hAnsiTheme="minorHAnsi" w:cstheme="minorHAnsi"/>
                <w:lang w:val="ro-RO"/>
              </w:rPr>
              <w:t>diverselor grupuri (inclusiv a grupurilor marginalizate/vulnerabile). De asemenea, pe baza cunoștințelor acumulate se pot dezvolta abilități</w:t>
            </w:r>
            <w:r w:rsidRPr="0005660B">
              <w:rPr>
                <w:rFonts w:asciiTheme="minorHAnsi" w:hAnsiTheme="minorHAnsi" w:cstheme="minorHAnsi"/>
                <w:lang w:val="ro-RO"/>
              </w:rPr>
              <w:t xml:space="preserve"> privind </w:t>
            </w:r>
            <w:r w:rsidR="00847631">
              <w:rPr>
                <w:rFonts w:asciiTheme="minorHAnsi" w:hAnsiTheme="minorHAnsi" w:cstheme="minorHAnsi"/>
                <w:lang w:val="ro-RO"/>
              </w:rPr>
              <w:t>inițierea și îmbunătățirea politicilor sociale</w:t>
            </w:r>
            <w:r w:rsidRPr="0005660B">
              <w:rPr>
                <w:rFonts w:asciiTheme="minorHAnsi" w:hAnsiTheme="minorHAnsi" w:cstheme="minorHAnsi"/>
                <w:lang w:val="ro-RO"/>
              </w:rPr>
              <w:t xml:space="preserve">. Aceste abilităţi sunt necesare atât în cadrul relaţiei asistent social-beneficiar cât şi </w:t>
            </w:r>
            <w:r w:rsidR="00847631">
              <w:rPr>
                <w:rFonts w:asciiTheme="minorHAnsi" w:hAnsiTheme="minorHAnsi" w:cstheme="minorHAnsi"/>
                <w:lang w:val="ro-RO"/>
              </w:rPr>
              <w:t>pentru buna înțelegere și funcționare a societății.</w:t>
            </w:r>
            <w:r w:rsidRPr="0005660B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</w:tr>
    </w:tbl>
    <w:p w14:paraId="6C85CEF1" w14:textId="6D86E2FA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ABE8D6C" w14:textId="2B446B23" w:rsidR="00D31D67" w:rsidRDefault="00D31D67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437CC64" w14:textId="37400B7B" w:rsidR="00A5320F" w:rsidRPr="00A5320F" w:rsidRDefault="00A5320F" w:rsidP="00A5320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</w:rPr>
      </w:pPr>
      <w:r w:rsidRPr="00A5320F">
        <w:rPr>
          <w:rFonts w:asciiTheme="minorHAnsi" w:hAnsiTheme="minorHAnsi" w:cstheme="minorHAnsi"/>
          <w:b/>
          <w:bCs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A5320F" w:rsidRPr="00A5320F" w14:paraId="0C61770D" w14:textId="77777777" w:rsidTr="00720F6A">
        <w:trPr>
          <w:trHeight w:val="558"/>
        </w:trPr>
        <w:tc>
          <w:tcPr>
            <w:tcW w:w="9389" w:type="dxa"/>
          </w:tcPr>
          <w:p w14:paraId="4BA912E9" w14:textId="5E897BA9" w:rsidR="00A5320F" w:rsidRPr="00A5320F" w:rsidRDefault="00A5320F" w:rsidP="00A5320F">
            <w:pPr>
              <w:pStyle w:val="ListParagraph"/>
              <w:ind w:left="714"/>
              <w:rPr>
                <w:rFonts w:asciiTheme="minorHAnsi" w:hAnsiTheme="minorHAnsi" w:cstheme="minorHAnsi"/>
                <w:b/>
              </w:rPr>
            </w:pPr>
            <w:r w:rsidRPr="00A5320F">
              <w:rPr>
                <w:rFonts w:asciiTheme="minorHAnsi" w:hAnsiTheme="minorHAnsi" w:cstheme="minorHAnsi"/>
                <w:b/>
                <w:bCs/>
              </w:rPr>
              <w:t>Pentru realizarea sarcinilor definite la secțiunea de evaluare</w:t>
            </w:r>
            <w:r w:rsidRPr="00A5320F">
              <w:rPr>
                <w:rFonts w:asciiTheme="minorHAnsi" w:hAnsiTheme="minorHAnsi" w:cstheme="minorHAnsi"/>
                <w:b/>
              </w:rPr>
              <w:t xml:space="preserve"> (cadrul didactic va preciza dacă doar la curs, doar la seminar/laborator sau la ambele), </w:t>
            </w:r>
            <w:r w:rsidRPr="00A5320F">
              <w:rPr>
                <w:rFonts w:asciiTheme="minorHAnsi" w:hAnsiTheme="minorHAnsi" w:cstheme="minorHAnsi"/>
                <w:b/>
                <w:bCs/>
              </w:rPr>
              <w:t>este permisă utilizarea IIAgen pentru</w:t>
            </w:r>
            <w:r w:rsidRPr="00A5320F">
              <w:rPr>
                <w:rFonts w:asciiTheme="minorHAnsi" w:hAnsiTheme="minorHAnsi" w:cstheme="minorHAnsi"/>
                <w:b/>
              </w:rPr>
              <w:t xml:space="preserve"> </w:t>
            </w:r>
            <w:r w:rsidRPr="00A5320F">
              <w:rPr>
                <w:rFonts w:asciiTheme="minorHAnsi" w:hAnsiTheme="minorHAnsi" w:cstheme="minorHAnsi"/>
                <w:b/>
                <w:i/>
                <w:iCs/>
              </w:rPr>
              <w:t>generarea de idei/slogan/design/imagini/rescriere de text, editare/review etc.</w:t>
            </w:r>
            <w:r w:rsidRPr="00A5320F">
              <w:rPr>
                <w:rFonts w:asciiTheme="minorHAnsi" w:hAnsiTheme="minorHAnsi" w:cstheme="minorHAnsi"/>
                <w:b/>
              </w:rPr>
              <w:t xml:space="preserve">  </w:t>
            </w:r>
          </w:p>
          <w:p w14:paraId="304754C7" w14:textId="77777777" w:rsidR="00A5320F" w:rsidRPr="00A5320F" w:rsidRDefault="00A5320F" w:rsidP="00A5320F">
            <w:pPr>
              <w:pStyle w:val="ListParagraph"/>
              <w:ind w:left="714"/>
              <w:rPr>
                <w:rFonts w:asciiTheme="minorHAnsi" w:hAnsiTheme="minorHAnsi" w:cstheme="minorHAnsi"/>
                <w:b/>
                <w:i/>
                <w:iCs/>
              </w:rPr>
            </w:pPr>
            <w:r w:rsidRPr="00A5320F">
              <w:rPr>
                <w:rFonts w:asciiTheme="minorHAnsi" w:hAnsiTheme="minorHAnsi" w:cstheme="minorHAnsi"/>
                <w:b/>
                <w:i/>
                <w:iCs/>
              </w:rPr>
              <w:t>Exemplele cele mai cunoscute de instrumente IAgen includ, dar nu se rezumă la: ChatGPT, Google Gemini, Copilot pentru text sau MidJourney pentru imagini.</w:t>
            </w:r>
          </w:p>
          <w:p w14:paraId="3B8C31DB" w14:textId="77777777" w:rsidR="00A5320F" w:rsidRPr="00A5320F" w:rsidRDefault="00A5320F" w:rsidP="00A5320F">
            <w:pPr>
              <w:pStyle w:val="ListParagraph"/>
              <w:ind w:left="714"/>
              <w:rPr>
                <w:rFonts w:asciiTheme="minorHAnsi" w:hAnsiTheme="minorHAnsi" w:cstheme="minorHAnsi"/>
                <w:b/>
              </w:rPr>
            </w:pPr>
            <w:r w:rsidRPr="00A5320F">
              <w:rPr>
                <w:rFonts w:asciiTheme="minorHAnsi" w:hAnsiTheme="minorHAnsi" w:cstheme="minorHAnsi"/>
                <w:b/>
                <w:i/>
                <w:iCs/>
              </w:rPr>
              <w:t xml:space="preserve">Fiecare student va preciza, într-o declarație redactată distinct pentru fiecare sarcină de lucru, conform modelului din anexa 3 a </w:t>
            </w:r>
            <w:hyperlink r:id="rId9" w:history="1">
              <w:r w:rsidRPr="00A5320F">
                <w:rPr>
                  <w:rStyle w:val="Hyperlink"/>
                  <w:rFonts w:asciiTheme="minorHAnsi" w:hAnsiTheme="minorHAnsi" w:cstheme="minorHAnsi"/>
                  <w:b/>
                  <w:i/>
                  <w:iCs/>
                </w:rPr>
                <w:t>Regulamentului privind utilizarea inteligenței artificiale generative în procesul educațional la UVT</w:t>
              </w:r>
            </w:hyperlink>
            <w:r w:rsidRPr="00A5320F">
              <w:rPr>
                <w:rFonts w:asciiTheme="minorHAnsi" w:hAnsiTheme="minorHAnsi" w:cstheme="minorHAnsi"/>
                <w:b/>
                <w:i/>
                <w:iCs/>
              </w:rPr>
              <w:t>, instrumentul pe care l-a utilizat, modul în care a fost utilizat și partea din sarcină în care acesta a fost utilizat. Declarația va fi menționată de student la începutul sarcinii de lucru elaborate.</w:t>
            </w:r>
          </w:p>
        </w:tc>
      </w:tr>
    </w:tbl>
    <w:p w14:paraId="7ACEDDB3" w14:textId="77777777" w:rsidR="00D31D67" w:rsidRDefault="00D31D67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A5320F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7D590296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5AC5244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1912" w:type="dxa"/>
          </w:tcPr>
          <w:p w14:paraId="219FB6AC" w14:textId="6953F166" w:rsidR="00E0255D" w:rsidRPr="00C4385C" w:rsidRDefault="00BF69AA" w:rsidP="00752E1C">
            <w:pPr>
              <w:rPr>
                <w:rFonts w:asciiTheme="minorHAnsi" w:hAnsiTheme="minorHAnsi" w:cstheme="minorHAnsi"/>
              </w:rPr>
            </w:pPr>
            <w:r w:rsidRPr="00BF69AA">
              <w:rPr>
                <w:rFonts w:asciiTheme="minorHAnsi" w:hAnsiTheme="minorHAnsi" w:cstheme="minorHAnsi"/>
              </w:rPr>
              <w:t>Cunoștințe și abilități</w:t>
            </w: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319F6BCE" w14:textId="79EF639A" w:rsidR="00E0255D" w:rsidRPr="00C4385C" w:rsidRDefault="00BF69A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Răspunsuri formulate la examen</w:t>
            </w:r>
          </w:p>
        </w:tc>
        <w:tc>
          <w:tcPr>
            <w:tcW w:w="1695" w:type="dxa"/>
          </w:tcPr>
          <w:p w14:paraId="4BF77FD9" w14:textId="1BF9537E" w:rsidR="00E0255D" w:rsidRPr="00C4385C" w:rsidRDefault="00BF69A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</w:tcPr>
          <w:p w14:paraId="55D0D37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10.5 Seminar / laborator</w:t>
            </w:r>
          </w:p>
        </w:tc>
        <w:tc>
          <w:tcPr>
            <w:tcW w:w="1912" w:type="dxa"/>
          </w:tcPr>
          <w:p w14:paraId="474DB993" w14:textId="765DC9B1" w:rsidR="00E0255D" w:rsidRPr="00C4385C" w:rsidRDefault="00BF69A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F69AA">
              <w:rPr>
                <w:rFonts w:asciiTheme="minorHAnsi" w:hAnsiTheme="minorHAnsi" w:cstheme="minorHAnsi"/>
                <w:lang w:val="ro-RO"/>
              </w:rPr>
              <w:t>Contribuție activă la seminar/curs și evaluarea cunoștințelor</w:t>
            </w:r>
          </w:p>
        </w:tc>
        <w:tc>
          <w:tcPr>
            <w:tcW w:w="3191" w:type="dxa"/>
          </w:tcPr>
          <w:p w14:paraId="454881DE" w14:textId="7908F48D" w:rsidR="00E0255D" w:rsidRPr="00A5320F" w:rsidRDefault="00BF69AA" w:rsidP="00752E1C">
            <w:pPr>
              <w:pStyle w:val="NoSpacing"/>
              <w:rPr>
                <w:rFonts w:asciiTheme="minorHAnsi" w:hAnsiTheme="minorHAnsi" w:cstheme="minorHAnsi"/>
                <w:lang w:val="it-IT"/>
              </w:rPr>
            </w:pPr>
            <w:r w:rsidRPr="00BF69AA">
              <w:rPr>
                <w:rFonts w:asciiTheme="minorHAnsi" w:hAnsiTheme="minorHAnsi" w:cstheme="minorHAnsi"/>
                <w:lang w:val="ro-RO"/>
              </w:rPr>
              <w:t xml:space="preserve">Evaluare pe parcurs: aplicarea cunoștințelor asimilate la curs și seminar (acoperind cursul 1 – cursul 5, seminar 1-10) prin elaborarea unor lucrări scrise și a unor studii de caz. Lucrările vor fi încărcate pe </w:t>
            </w:r>
            <w:r w:rsidR="00E65F0D">
              <w:rPr>
                <w:rFonts w:asciiTheme="minorHAnsi" w:hAnsiTheme="minorHAnsi" w:cstheme="minorHAnsi"/>
                <w:lang w:val="ro-RO"/>
              </w:rPr>
              <w:t>platforma dedicată materiei</w:t>
            </w:r>
            <w:r>
              <w:rPr>
                <w:rFonts w:asciiTheme="minorHAnsi" w:hAnsiTheme="minorHAnsi" w:cstheme="minorHAnsi"/>
                <w:lang w:val="ro-RO"/>
              </w:rPr>
              <w:t xml:space="preserve"> sau prezentate la ore</w:t>
            </w:r>
          </w:p>
          <w:p w14:paraId="0BD51678" w14:textId="5147A9C3" w:rsidR="00DD722C" w:rsidRPr="00A5320F" w:rsidRDefault="00DD722C" w:rsidP="00752E1C">
            <w:pPr>
              <w:pStyle w:val="NoSpacing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695" w:type="dxa"/>
          </w:tcPr>
          <w:p w14:paraId="0AA4073B" w14:textId="374245BC" w:rsidR="00E0255D" w:rsidRPr="00C4385C" w:rsidRDefault="00BF69A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2ED4B125" w:rsidR="00802D13" w:rsidRPr="00C4385C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0FA90858" w14:textId="1CAB2FB2" w:rsidR="00BF69AA" w:rsidRDefault="00BF69AA" w:rsidP="00BF69AA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F69AA">
              <w:rPr>
                <w:rFonts w:asciiTheme="minorHAnsi" w:hAnsiTheme="minorHAnsi" w:cstheme="minorHAnsi"/>
                <w:lang w:val="ro-RO"/>
              </w:rPr>
              <w:t>Studentul trebuie să demonstreze anumite cunoştinţe minime, cum ar fi familiarizarea cu conţinutul cursului și al seminarului –</w:t>
            </w:r>
            <w:r>
              <w:rPr>
                <w:rFonts w:asciiTheme="minorHAnsi" w:hAnsiTheme="minorHAnsi" w:cstheme="minorHAnsi"/>
                <w:lang w:val="ro-RO"/>
              </w:rPr>
              <w:t xml:space="preserve"> n</w:t>
            </w:r>
            <w:r w:rsidRPr="00BF69AA">
              <w:rPr>
                <w:rFonts w:asciiTheme="minorHAnsi" w:hAnsiTheme="minorHAnsi" w:cstheme="minorHAnsi"/>
                <w:lang w:val="ro-RO"/>
              </w:rPr>
              <w:t>otarea cu minim 5 la evaluarea finală.</w:t>
            </w:r>
          </w:p>
          <w:p w14:paraId="6E518DD0" w14:textId="77777777" w:rsidR="00BF69AA" w:rsidRPr="00BF69AA" w:rsidRDefault="00BF69AA" w:rsidP="00BF69AA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3D51674" w14:textId="62B1C825" w:rsidR="00802D13" w:rsidRPr="00C4385C" w:rsidRDefault="00BF69AA" w:rsidP="00BF69AA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F69AA">
              <w:rPr>
                <w:rFonts w:asciiTheme="minorHAnsi" w:hAnsiTheme="minorHAnsi" w:cstheme="minorHAnsi"/>
                <w:lang w:val="ro-RO"/>
              </w:rPr>
              <w:t>Toate condițiile și criteriile de evaluare rămân valabile și pentru sesiunile de restanțe.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59F8776C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2C0A3FF4" w14:textId="64A83E70" w:rsidR="00847631" w:rsidRDefault="00375D58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11</w:t>
      </w:r>
      <w:r w:rsidR="00393DC7">
        <w:rPr>
          <w:rFonts w:asciiTheme="minorHAnsi" w:eastAsia="Calibri" w:hAnsiTheme="minorHAnsi" w:cstheme="minorHAnsi"/>
        </w:rPr>
        <w:t>.0</w:t>
      </w:r>
      <w:r w:rsidR="007E5E52">
        <w:rPr>
          <w:rFonts w:asciiTheme="minorHAnsi" w:eastAsia="Calibri" w:hAnsiTheme="minorHAnsi" w:cstheme="minorHAnsi"/>
        </w:rPr>
        <w:t>2</w:t>
      </w:r>
      <w:r w:rsidR="00393DC7">
        <w:rPr>
          <w:rFonts w:asciiTheme="minorHAnsi" w:eastAsia="Calibri" w:hAnsiTheme="minorHAnsi" w:cstheme="minorHAnsi"/>
        </w:rPr>
        <w:t>.202</w:t>
      </w:r>
      <w:r>
        <w:rPr>
          <w:rFonts w:asciiTheme="minorHAnsi" w:eastAsia="Calibri" w:hAnsiTheme="minorHAnsi" w:cstheme="minorHAnsi"/>
        </w:rPr>
        <w:t>6</w:t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393DC7">
        <w:rPr>
          <w:rFonts w:asciiTheme="minorHAnsi" w:eastAsia="Calibri" w:hAnsiTheme="minorHAnsi" w:cstheme="minorHAnsi"/>
        </w:rPr>
        <w:tab/>
      </w:r>
      <w:r w:rsidR="00D31D67">
        <w:rPr>
          <w:rFonts w:asciiTheme="minorHAnsi" w:eastAsia="Calibri" w:hAnsiTheme="minorHAnsi" w:cstheme="minorHAnsi"/>
        </w:rPr>
        <w:t xml:space="preserve">    </w:t>
      </w:r>
      <w:r w:rsidR="00393DC7">
        <w:rPr>
          <w:rFonts w:asciiTheme="minorHAnsi" w:eastAsia="Calibri" w:hAnsiTheme="minorHAnsi" w:cstheme="minorHAnsi"/>
        </w:rPr>
        <w:t>Pășcuță Adrian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0B2BF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87AD5" w14:textId="77777777" w:rsidR="00746E86" w:rsidRDefault="00746E86" w:rsidP="003E226A">
      <w:r>
        <w:separator/>
      </w:r>
    </w:p>
  </w:endnote>
  <w:endnote w:type="continuationSeparator" w:id="0">
    <w:p w14:paraId="78B7D672" w14:textId="77777777" w:rsidR="00746E86" w:rsidRDefault="00746E86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1A1AF" w14:textId="77777777" w:rsidR="00746E86" w:rsidRDefault="00746E86" w:rsidP="003E226A">
      <w:r>
        <w:separator/>
      </w:r>
    </w:p>
  </w:footnote>
  <w:footnote w:type="continuationSeparator" w:id="0">
    <w:p w14:paraId="289CC5FE" w14:textId="77777777" w:rsidR="00746E86" w:rsidRDefault="00746E86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61F26"/>
    <w:multiLevelType w:val="hybridMultilevel"/>
    <w:tmpl w:val="6F3A6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0456A"/>
    <w:multiLevelType w:val="hybridMultilevel"/>
    <w:tmpl w:val="1AB88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A92375C"/>
    <w:multiLevelType w:val="hybridMultilevel"/>
    <w:tmpl w:val="EBB0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12B5B"/>
    <w:multiLevelType w:val="hybridMultilevel"/>
    <w:tmpl w:val="9A80B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D32D3"/>
    <w:multiLevelType w:val="hybridMultilevel"/>
    <w:tmpl w:val="EF288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06BA9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E292670"/>
    <w:multiLevelType w:val="hybridMultilevel"/>
    <w:tmpl w:val="9ADC7FF2"/>
    <w:lvl w:ilvl="0" w:tplc="FFDAED5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034"/>
    <w:multiLevelType w:val="hybridMultilevel"/>
    <w:tmpl w:val="B16C08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823665">
    <w:abstractNumId w:val="30"/>
  </w:num>
  <w:num w:numId="2" w16cid:durableId="761492152">
    <w:abstractNumId w:val="0"/>
  </w:num>
  <w:num w:numId="3" w16cid:durableId="723143591">
    <w:abstractNumId w:val="14"/>
  </w:num>
  <w:num w:numId="4" w16cid:durableId="1670716611">
    <w:abstractNumId w:val="8"/>
  </w:num>
  <w:num w:numId="5" w16cid:durableId="1369990073">
    <w:abstractNumId w:val="33"/>
  </w:num>
  <w:num w:numId="6" w16cid:durableId="1675835253">
    <w:abstractNumId w:val="15"/>
  </w:num>
  <w:num w:numId="7" w16cid:durableId="835612652">
    <w:abstractNumId w:val="9"/>
  </w:num>
  <w:num w:numId="8" w16cid:durableId="2010980547">
    <w:abstractNumId w:val="5"/>
  </w:num>
  <w:num w:numId="9" w16cid:durableId="1069839496">
    <w:abstractNumId w:val="23"/>
  </w:num>
  <w:num w:numId="10" w16cid:durableId="320083969">
    <w:abstractNumId w:val="21"/>
  </w:num>
  <w:num w:numId="11" w16cid:durableId="902956948">
    <w:abstractNumId w:val="17"/>
  </w:num>
  <w:num w:numId="12" w16cid:durableId="243490466">
    <w:abstractNumId w:val="12"/>
  </w:num>
  <w:num w:numId="13" w16cid:durableId="1776048701">
    <w:abstractNumId w:val="31"/>
  </w:num>
  <w:num w:numId="14" w16cid:durableId="107968620">
    <w:abstractNumId w:val="3"/>
  </w:num>
  <w:num w:numId="15" w16cid:durableId="1860313078">
    <w:abstractNumId w:val="13"/>
  </w:num>
  <w:num w:numId="16" w16cid:durableId="1091969939">
    <w:abstractNumId w:val="27"/>
  </w:num>
  <w:num w:numId="17" w16cid:durableId="2051225943">
    <w:abstractNumId w:val="35"/>
  </w:num>
  <w:num w:numId="18" w16cid:durableId="1596788940">
    <w:abstractNumId w:val="10"/>
  </w:num>
  <w:num w:numId="19" w16cid:durableId="390150997">
    <w:abstractNumId w:val="4"/>
  </w:num>
  <w:num w:numId="20" w16cid:durableId="1733694156">
    <w:abstractNumId w:val="18"/>
  </w:num>
  <w:num w:numId="21" w16cid:durableId="529227640">
    <w:abstractNumId w:val="29"/>
  </w:num>
  <w:num w:numId="22" w16cid:durableId="1770421421">
    <w:abstractNumId w:val="34"/>
  </w:num>
  <w:num w:numId="23" w16cid:durableId="284390845">
    <w:abstractNumId w:val="22"/>
  </w:num>
  <w:num w:numId="24" w16cid:durableId="248121030">
    <w:abstractNumId w:val="32"/>
  </w:num>
  <w:num w:numId="25" w16cid:durableId="1093433870">
    <w:abstractNumId w:val="37"/>
  </w:num>
  <w:num w:numId="26" w16cid:durableId="2027248914">
    <w:abstractNumId w:val="2"/>
  </w:num>
  <w:num w:numId="27" w16cid:durableId="309672743">
    <w:abstractNumId w:val="25"/>
  </w:num>
  <w:num w:numId="28" w16cid:durableId="1379478543">
    <w:abstractNumId w:val="28"/>
  </w:num>
  <w:num w:numId="29" w16cid:durableId="612440712">
    <w:abstractNumId w:val="7"/>
  </w:num>
  <w:num w:numId="30" w16cid:durableId="1460028913">
    <w:abstractNumId w:val="1"/>
  </w:num>
  <w:num w:numId="31" w16cid:durableId="448091480">
    <w:abstractNumId w:val="11"/>
  </w:num>
  <w:num w:numId="32" w16cid:durableId="2049642427">
    <w:abstractNumId w:val="28"/>
  </w:num>
  <w:num w:numId="33" w16cid:durableId="667369968">
    <w:abstractNumId w:val="16"/>
  </w:num>
  <w:num w:numId="34" w16cid:durableId="1413698380">
    <w:abstractNumId w:val="19"/>
  </w:num>
  <w:num w:numId="35" w16cid:durableId="367687443">
    <w:abstractNumId w:val="11"/>
  </w:num>
  <w:num w:numId="36" w16cid:durableId="413744638">
    <w:abstractNumId w:val="36"/>
  </w:num>
  <w:num w:numId="37" w16cid:durableId="2117017129">
    <w:abstractNumId w:val="20"/>
  </w:num>
  <w:num w:numId="38" w16cid:durableId="503594211">
    <w:abstractNumId w:val="6"/>
  </w:num>
  <w:num w:numId="39" w16cid:durableId="18472051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48484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660B"/>
    <w:rsid w:val="00057048"/>
    <w:rsid w:val="000628E6"/>
    <w:rsid w:val="00064086"/>
    <w:rsid w:val="00070CEA"/>
    <w:rsid w:val="00072637"/>
    <w:rsid w:val="00073DE4"/>
    <w:rsid w:val="00073E3B"/>
    <w:rsid w:val="00095FBB"/>
    <w:rsid w:val="0009720E"/>
    <w:rsid w:val="000A4C02"/>
    <w:rsid w:val="000B0AC4"/>
    <w:rsid w:val="000B2BFE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2034"/>
    <w:rsid w:val="002E4EA3"/>
    <w:rsid w:val="002F1A6A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5D58"/>
    <w:rsid w:val="003770D2"/>
    <w:rsid w:val="00384F55"/>
    <w:rsid w:val="0038731B"/>
    <w:rsid w:val="003918B5"/>
    <w:rsid w:val="00393DC7"/>
    <w:rsid w:val="003A2888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2F69"/>
    <w:rsid w:val="004152B8"/>
    <w:rsid w:val="00416F51"/>
    <w:rsid w:val="0043147D"/>
    <w:rsid w:val="004422B3"/>
    <w:rsid w:val="00447FD0"/>
    <w:rsid w:val="004501A3"/>
    <w:rsid w:val="00455B8A"/>
    <w:rsid w:val="00465F44"/>
    <w:rsid w:val="00480F05"/>
    <w:rsid w:val="0048385D"/>
    <w:rsid w:val="0049193A"/>
    <w:rsid w:val="004943E4"/>
    <w:rsid w:val="00495AFA"/>
    <w:rsid w:val="004A2A78"/>
    <w:rsid w:val="004A3E56"/>
    <w:rsid w:val="004B273C"/>
    <w:rsid w:val="004B61D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674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4683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5CB3"/>
    <w:rsid w:val="0066683F"/>
    <w:rsid w:val="0068330D"/>
    <w:rsid w:val="0068359F"/>
    <w:rsid w:val="00684621"/>
    <w:rsid w:val="0068626E"/>
    <w:rsid w:val="00686649"/>
    <w:rsid w:val="00696C21"/>
    <w:rsid w:val="006A03FD"/>
    <w:rsid w:val="006A4078"/>
    <w:rsid w:val="006A6930"/>
    <w:rsid w:val="006B1918"/>
    <w:rsid w:val="006C68F5"/>
    <w:rsid w:val="006D266E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46E86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92FA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5E52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47631"/>
    <w:rsid w:val="00857CD1"/>
    <w:rsid w:val="00863F8C"/>
    <w:rsid w:val="0086401F"/>
    <w:rsid w:val="0086407E"/>
    <w:rsid w:val="00864858"/>
    <w:rsid w:val="0086507F"/>
    <w:rsid w:val="00867089"/>
    <w:rsid w:val="00875288"/>
    <w:rsid w:val="008777DB"/>
    <w:rsid w:val="00880948"/>
    <w:rsid w:val="00880E08"/>
    <w:rsid w:val="008810F8"/>
    <w:rsid w:val="00884B42"/>
    <w:rsid w:val="00886E5F"/>
    <w:rsid w:val="00893853"/>
    <w:rsid w:val="00895C2B"/>
    <w:rsid w:val="008B0F1E"/>
    <w:rsid w:val="008B1AD0"/>
    <w:rsid w:val="008B286B"/>
    <w:rsid w:val="008C1CCC"/>
    <w:rsid w:val="008C460E"/>
    <w:rsid w:val="008C6F1E"/>
    <w:rsid w:val="008D440F"/>
    <w:rsid w:val="008D77C9"/>
    <w:rsid w:val="008E1A87"/>
    <w:rsid w:val="008F1E09"/>
    <w:rsid w:val="009028AD"/>
    <w:rsid w:val="00910EDC"/>
    <w:rsid w:val="00917227"/>
    <w:rsid w:val="009264A3"/>
    <w:rsid w:val="00926E97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65724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320F"/>
    <w:rsid w:val="00A533F0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AF40FF"/>
    <w:rsid w:val="00B0274C"/>
    <w:rsid w:val="00B02961"/>
    <w:rsid w:val="00B0774E"/>
    <w:rsid w:val="00B1090A"/>
    <w:rsid w:val="00B177A0"/>
    <w:rsid w:val="00B338DA"/>
    <w:rsid w:val="00B4122C"/>
    <w:rsid w:val="00B447E7"/>
    <w:rsid w:val="00B45DA8"/>
    <w:rsid w:val="00B46A70"/>
    <w:rsid w:val="00B4785A"/>
    <w:rsid w:val="00B529CE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19DA"/>
    <w:rsid w:val="00BD5423"/>
    <w:rsid w:val="00BE0377"/>
    <w:rsid w:val="00BF0AE6"/>
    <w:rsid w:val="00BF1DAB"/>
    <w:rsid w:val="00BF305D"/>
    <w:rsid w:val="00BF69AA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335D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18D9"/>
    <w:rsid w:val="00C94830"/>
    <w:rsid w:val="00C94D71"/>
    <w:rsid w:val="00C95A07"/>
    <w:rsid w:val="00CB17D0"/>
    <w:rsid w:val="00CC18CF"/>
    <w:rsid w:val="00CC25C9"/>
    <w:rsid w:val="00CD1B6F"/>
    <w:rsid w:val="00CF39F6"/>
    <w:rsid w:val="00D0772B"/>
    <w:rsid w:val="00D249A4"/>
    <w:rsid w:val="00D26C69"/>
    <w:rsid w:val="00D27EBD"/>
    <w:rsid w:val="00D31B91"/>
    <w:rsid w:val="00D31D67"/>
    <w:rsid w:val="00D32266"/>
    <w:rsid w:val="00D353C3"/>
    <w:rsid w:val="00D371EC"/>
    <w:rsid w:val="00D42360"/>
    <w:rsid w:val="00D425EF"/>
    <w:rsid w:val="00D47DAF"/>
    <w:rsid w:val="00D563C7"/>
    <w:rsid w:val="00D64A96"/>
    <w:rsid w:val="00D8024D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22C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65F0D"/>
    <w:rsid w:val="00E70432"/>
    <w:rsid w:val="00E70CB2"/>
    <w:rsid w:val="00E95821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76958"/>
    <w:rsid w:val="00F778DA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93A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locked/>
    <w:rsid w:val="005C4683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%3A%2F%2Fmeet.google.com%2Fkux-emvx-tqr%3Ffbclid%3DIwAR1Pm770cFywa7yARaZ9Fbz3SPByCMdaSbwVpIiyhBqpSgMRBljeyrxmLIU&amp;h=AT09jK2Db7r1EL8DTnh7IDxoob2iMPxFPtiZWAQD4psS8M-6XPqLd8FYquUjcpKjaKqwQhty4cehLer0dzNBxxX1enOc216Vql-txPV08lrUAxhEWY5D-JbTMPpKgh44JpkKwQ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meet.google.com/kux-emvx-tq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vt.ro/wp-content/uploads/sites/3/2026/01/Regulament-UVT_Utilizarea-AI-in-educatie.pdf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2653</Words>
  <Characters>15126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Adrian Pascuta</cp:lastModifiedBy>
  <cp:revision>2</cp:revision>
  <cp:lastPrinted>2017-11-08T12:05:00Z</cp:lastPrinted>
  <dcterms:created xsi:type="dcterms:W3CDTF">2026-02-11T14:11:00Z</dcterms:created>
  <dcterms:modified xsi:type="dcterms:W3CDTF">2026-02-11T14:11:00Z</dcterms:modified>
</cp:coreProperties>
</file>